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Borders>
          <w:top w:val="single" w:sz="12" w:color="B00020"/>
          <w:left w:val="single" w:sz="12" w:color="B00020"/>
          <w:bottom w:val="single" w:sz="12" w:color="B00020"/>
          <w:right w:val="single" w:sz="12" w:color="B00020"/>
        </w:tblBorders>
        <w:tblLayout w:type="fixed"/>
        <w:tblCellMar>
          <w:top w:w="60" w:type="dxa"/>
          <w:left w:w="100" w:type="dxa"/>
          <w:bottom w:w="60" w:type="dxa"/>
          <w:right w:w="100" w:type="dxa"/>
        </w:tblCellMar>
        <w:tblLook w:firstColumn="1" w:firstRow="1" w:lastColumn="0" w:lastRow="0" w:noHBand="0" w:noVBand="1" w:val="04A0"/>
      </w:tblPr>
      <w:tblGrid>
        <w:gridCol w:w="15703"/>
      </w:tblGrid>
      <w:tr>
        <w:tc>
          <w:tcPr>
            <w:tcW w:type="dxa" w:w="15704"/>
            <w:shd w:val="clear" w:color="auto" w:fill="FDECEE"/>
          </w:tcPr>
          <w:p>
            <w:pPr>
              <w:spacing w:before="0" w:after="20" w:line="240" w:lineRule="auto"/>
            </w:pPr>
            <w:r>
              <w:rPr>
                <w:rFonts w:ascii="Calibri" w:hAnsi="Calibri" w:eastAsia="Calibri" w:cs="Calibri"/>
                <w:b/>
                <w:i w:val="0"/>
                <w:color w:val="B00020"/>
                <w:sz w:val="20"/>
              </w:rPr>
              <w:t>GUIDANCE PAGE: REMOVE THIS PAGE BEFORE YOU USE OR SHARE THE CHECKLIST</w:t>
            </w:r>
          </w:p>
        </w:tc>
      </w:tr>
    </w:tbl>
    <w:p>
      <w:pPr>
        <w:spacing w:before="160" w:after="0" w:line="240" w:lineRule="auto"/>
      </w:pPr>
      <w:r>
        <w:rPr>
          <w:rFonts w:ascii="Calibri" w:hAnsi="Calibri" w:eastAsia="Calibri" w:cs="Calibri"/>
          <w:b/>
          <w:i w:val="0"/>
          <w:color w:val="1F2937"/>
          <w:sz w:val="48"/>
        </w:rPr>
        <w:t>2027 Contract Update Checklist</w:t>
      </w:r>
    </w:p>
    <w:p>
      <w:pPr>
        <w:spacing w:before="0" w:after="120" w:line="240" w:lineRule="auto"/>
      </w:pPr>
      <w:r>
        <w:rPr>
          <w:rFonts w:ascii="Calibri" w:hAnsi="Calibri" w:eastAsia="Calibri" w:cs="Calibri"/>
          <w:b w:val="0"/>
          <w:i w:val="0"/>
          <w:color w:val="555F6B"/>
          <w:sz w:val="21"/>
        </w:rPr>
        <w:t>Which contract and handbook terms to review for law changes that are in force or enacted with a date, by jurisdiction, with a separate Part B for what is announced, proposed or not yet confirmed as binding.</w:t>
      </w:r>
    </w:p>
    <w:tbl>
      <w:tblPr>
        <w:tblW w:type="auto" w:w="0"/>
        <w:tblBorders>
          <w:top w:val="nil"/>
          <w:left w:val="nil"/>
          <w:bottom w:val="nil"/>
          <w:right w:val="nil"/>
          <w:insideH w:val="nil"/>
          <w:insideV w:val="nil"/>
        </w:tblBorders>
        <w:tblLayout w:type="fixed"/>
        <w:tblCellMar>
          <w:top w:w="20" w:type="dxa"/>
          <w:left w:w="0" w:type="dxa"/>
          <w:bottom w:w="20" w:type="dxa"/>
          <w:right w:w="160" w:type="dxa"/>
        </w:tblCellMar>
        <w:tblLook w:firstColumn="1" w:firstRow="1" w:lastColumn="0" w:lastRow="0" w:noHBand="0" w:noVBand="1" w:val="04A0"/>
      </w:tblPr>
      <w:tblGrid>
        <w:gridCol w:w="7823"/>
        <w:gridCol w:w="7880"/>
      </w:tblGrid>
      <w:tr>
        <w:tc>
          <w:tcPr>
            <w:tcW w:type="dxa" w:w="7824"/>
          </w:tcPr>
          <w:p>
            <w:pPr>
              <w:spacing w:before="0" w:after="40" w:line="240" w:lineRule="auto"/>
            </w:pPr>
            <w:r>
              <w:rPr>
                <w:rFonts w:ascii="Calibri" w:hAnsi="Calibri" w:eastAsia="Calibri" w:cs="Calibri"/>
                <w:b/>
                <w:i w:val="0"/>
                <w:color w:val="1F2937"/>
                <w:sz w:val="22"/>
              </w:rPr>
              <w:t>What this is</w:t>
            </w:r>
          </w:p>
          <w:p>
            <w:pPr>
              <w:spacing w:before="0" w:after="60" w:line="240" w:lineRule="auto"/>
            </w:pPr>
            <w:r>
              <w:rPr>
                <w:rFonts w:ascii="Calibri" w:hAnsi="Calibri" w:eastAsia="Calibri" w:cs="Calibri"/>
                <w:b w:val="0"/>
                <w:i w:val="0"/>
                <w:color w:val="1F2937"/>
                <w:sz w:val="19"/>
              </w:rPr>
              <w:t>A checklist of law changes that employment contracts, offer letters and handbooks may need to reflect in 2027. Each row gives the jurisdiction, the document and clause to look at, the trigger date, a status word and the official source.</w:t>
            </w:r>
          </w:p>
          <w:p>
            <w:pPr>
              <w:spacing w:before="0" w:after="60" w:line="240" w:lineRule="auto"/>
            </w:pPr>
            <w:r>
              <w:rPr>
                <w:rFonts w:ascii="Calibri" w:hAnsi="Calibri" w:eastAsia="Calibri" w:cs="Calibri"/>
                <w:b w:val="0"/>
                <w:i w:val="0"/>
                <w:color w:val="1F2937"/>
                <w:sz w:val="19"/>
              </w:rPr>
              <w:t>Part A (27 rows) holds changes that are in force or enacted with a date. Part B (21 rows) holds items that are announced, proposed or not yet confirmed as binding. Do not amend a document because of an announced or proposed Part B row; set a check-again date instead. Part B also holds 3 rows with status Enacted, details unconfirmed (B18, B20, B21): the law or rule is made, so read the instrument now.</w:t>
            </w:r>
          </w:p>
          <w:p>
            <w:pPr>
              <w:spacing w:before="0" w:after="40" w:line="240" w:lineRule="auto"/>
            </w:pPr>
            <w:r>
              <w:rPr>
                <w:rFonts w:ascii="Calibri" w:hAnsi="Calibri" w:eastAsia="Calibri" w:cs="Calibri"/>
                <w:b/>
                <w:i w:val="0"/>
                <w:color w:val="1F2937"/>
                <w:sz w:val="22"/>
              </w:rPr>
              <w:t>When to use it</w:t>
            </w:r>
          </w:p>
          <w:p>
            <w:pPr>
              <w:spacing w:before="0" w:after="60" w:line="240" w:lineRule="auto"/>
            </w:pPr>
            <w:r>
              <w:rPr>
                <w:rFonts w:ascii="Calibri" w:hAnsi="Calibri" w:eastAsia="Calibri" w:cs="Calibri"/>
                <w:b w:val="0"/>
                <w:i w:val="0"/>
                <w:color w:val="1F2937"/>
                <w:sz w:val="19"/>
              </w:rPr>
              <w:t>Use it when you plan the 2027 contract and handbook review, and again before each trigger date. Statuses and dates were checked on October 27 and 28, 2026 and will change.</w:t>
            </w:r>
          </w:p>
          <w:p>
            <w:pPr>
              <w:spacing w:before="0" w:after="40" w:line="240" w:lineRule="auto"/>
            </w:pPr>
            <w:r>
              <w:rPr>
                <w:rFonts w:ascii="Calibri" w:hAnsi="Calibri" w:eastAsia="Calibri" w:cs="Calibri"/>
                <w:b/>
                <w:i w:val="0"/>
                <w:color w:val="1F2937"/>
                <w:sz w:val="22"/>
              </w:rPr>
              <w:t>How to choose a version</w:t>
            </w:r>
          </w:p>
          <w:p>
            <w:pPr>
              <w:spacing w:before="0" w:after="60" w:line="240" w:lineRule="auto"/>
            </w:pPr>
            <w:r>
              <w:rPr>
                <w:rFonts w:ascii="Calibri" w:hAnsi="Calibri" w:eastAsia="Calibri" w:cs="Calibri"/>
                <w:b w:val="0"/>
                <w:i w:val="0"/>
                <w:color w:val="1F2937"/>
                <w:sz w:val="19"/>
              </w:rPr>
              <w:t>Use the DOCX to edit rows, delete jurisdictions where you have no workers, or add your own clause references. Use the PDF to print and tick by hand. Both files hold the same rows.</w:t>
            </w:r>
          </w:p>
        </w:tc>
        <w:tc>
          <w:tcPr>
            <w:tcW w:type="dxa" w:w="7880"/>
          </w:tcPr>
          <w:p>
            <w:pPr>
              <w:spacing w:before="0" w:after="40" w:line="240" w:lineRule="auto"/>
            </w:pPr>
            <w:r>
              <w:rPr>
                <w:rFonts w:ascii="Calibri" w:hAnsi="Calibri" w:eastAsia="Calibri" w:cs="Calibri"/>
                <w:b/>
                <w:i w:val="0"/>
                <w:color w:val="1F2937"/>
                <w:sz w:val="22"/>
              </w:rPr>
              <w:t>How to fill it</w:t>
            </w:r>
          </w:p>
          <w:p>
            <w:pPr>
              <w:spacing w:before="0" w:after="60" w:line="240" w:lineRule="auto"/>
            </w:pPr>
            <w:r>
              <w:rPr>
                <w:rFonts w:ascii="Calibri" w:hAnsi="Calibri" w:eastAsia="Calibri" w:cs="Calibri"/>
                <w:b w:val="0"/>
                <w:i w:val="0"/>
                <w:color w:val="1F2937"/>
                <w:sz w:val="19"/>
              </w:rPr>
              <w:t>1. Tick the jurisdictions where you have workers (page 1 of the checklist).</w:t>
            </w:r>
          </w:p>
          <w:p>
            <w:pPr>
              <w:spacing w:before="0" w:after="60" w:line="240" w:lineRule="auto"/>
            </w:pPr>
            <w:r>
              <w:rPr>
                <w:rFonts w:ascii="Calibri" w:hAnsi="Calibri" w:eastAsia="Calibri" w:cs="Calibri"/>
                <w:b w:val="0"/>
                <w:i w:val="0"/>
                <w:color w:val="1F2937"/>
                <w:sz w:val="19"/>
              </w:rPr>
              <w:t>2. In Part A, mark each row Yes or No under "Applies to us?". Read the source first: many rows depend on employer size, worker type or location.</w:t>
            </w:r>
          </w:p>
          <w:p>
            <w:pPr>
              <w:spacing w:before="0" w:after="60" w:line="240" w:lineRule="auto"/>
            </w:pPr>
            <w:r>
              <w:rPr>
                <w:rFonts w:ascii="Calibri" w:hAnsi="Calibri" w:eastAsia="Calibri" w:cs="Calibri"/>
                <w:b w:val="0"/>
                <w:i w:val="0"/>
                <w:color w:val="1F2937"/>
                <w:sz w:val="19"/>
              </w:rPr>
              <w:t>3. For each Yes row, write an owner and a due date before the trigger date. Tick "Reviewed" when the document has been checked against the source.</w:t>
            </w:r>
          </w:p>
          <w:p>
            <w:pPr>
              <w:spacing w:before="0" w:after="60" w:line="240" w:lineRule="auto"/>
            </w:pPr>
            <w:r>
              <w:rPr>
                <w:rFonts w:ascii="Calibri" w:hAnsi="Calibri" w:eastAsia="Calibri" w:cs="Calibri"/>
                <w:b w:val="0"/>
                <w:i w:val="0"/>
                <w:color w:val="1F2937"/>
                <w:sz w:val="19"/>
              </w:rPr>
              <w:t>4. Give each Part B row for a place where you have workers a "check again" date. For a row with a January 1, 2027 trigger (B1, B2, B9, B10, B12, B16, B17), set it no later than December 1, 2026, so there is time to change a document if the source confirms the rule. For the Enacted, details unconfirmed rows (B18, B20, B21), read the instrument now and decide whether and when it applies to you.</w:t>
            </w:r>
          </w:p>
          <w:p>
            <w:pPr>
              <w:spacing w:before="0" w:after="60" w:line="240" w:lineRule="auto"/>
            </w:pPr>
            <w:r>
              <w:rPr>
                <w:rFonts w:ascii="Calibri" w:hAnsi="Calibri" w:eastAsia="Calibri" w:cs="Calibri"/>
                <w:b w:val="0"/>
                <w:i w:val="0"/>
                <w:color w:val="1F2937"/>
                <w:sz w:val="19"/>
              </w:rPr>
              <w:t>5. List your documents in the inventory with their next review dates, then sign off.</w:t>
            </w:r>
          </w:p>
          <w:p>
            <w:pPr>
              <w:spacing w:before="0" w:after="40" w:line="240" w:lineRule="auto"/>
            </w:pPr>
            <w:r>
              <w:rPr>
                <w:rFonts w:ascii="Calibri" w:hAnsi="Calibri" w:eastAsia="Calibri" w:cs="Calibri"/>
                <w:b/>
                <w:i w:val="0"/>
                <w:color w:val="1F2937"/>
                <w:sz w:val="22"/>
              </w:rPr>
              <w:t>Disclaimer</w:t>
            </w:r>
          </w:p>
          <w:p>
            <w:pPr>
              <w:spacing w:before="0" w:after="60" w:line="240" w:lineRule="auto"/>
            </w:pPr>
            <w:r>
              <w:rPr>
                <w:rFonts w:ascii="Calibri" w:hAnsi="Calibri" w:eastAsia="Calibri" w:cs="Calibri"/>
                <w:b w:val="0"/>
                <w:i w:val="0"/>
                <w:color w:val="1F2937"/>
                <w:sz w:val="19"/>
              </w:rPr>
              <w:t>General information, not legal advice. This checklist reports what official sources say about enacted, in force and announced changes. It does not say whether a rule applies to your business or what your contract should say. Read the primary text, and ask a lawyer qualified in the jurisdiction before you change a contract.</w:t>
            </w:r>
          </w:p>
          <w:p>
            <w:pPr>
              <w:spacing w:before="0" w:after="0" w:line="240" w:lineRule="auto"/>
            </w:pPr>
            <w:r>
              <w:rPr>
                <w:rFonts w:ascii="Calibri" w:hAnsi="Calibri" w:eastAsia="Calibri" w:cs="Calibri"/>
                <w:b/>
                <w:i w:val="0"/>
                <w:color w:val="1F2937"/>
                <w:sz w:val="20"/>
              </w:rPr>
              <w:t>Template from HR Riant, hrriant.com</w:t>
            </w:r>
          </w:p>
        </w:tc>
      </w:tr>
    </w:tbl>
    <w:p>
      <w:pPr>
        <w:sectPr>
          <w:pgSz w:w="16838" w:h="11906" w:orient="landscape"/>
          <w:pgMar w:top="624" w:right="567" w:bottom="737" w:left="567" w:header="720" w:footer="340" w:gutter="0"/>
          <w:cols w:space="720"/>
          <w:docGrid w:linePitch="360"/>
        </w:sectPr>
      </w:pPr>
    </w:p>
    <w:p>
      <w:pPr>
        <w:spacing w:before="0" w:after="0" w:line="240" w:lineRule="auto"/>
      </w:pPr>
      <w:r>
        <w:rPr>
          <w:rFonts w:ascii="Calibri" w:hAnsi="Calibri" w:eastAsia="Calibri" w:cs="Calibri"/>
          <w:b/>
          <w:i w:val="0"/>
          <w:color w:val="1F2937"/>
          <w:sz w:val="40"/>
        </w:rPr>
        <w:t>2027 Contract Update Checklist</w:t>
      </w:r>
    </w:p>
    <w:p>
      <w:pPr>
        <w:spacing w:before="0" w:after="100" w:line="240" w:lineRule="auto"/>
      </w:pPr>
      <w:r>
        <w:rPr>
          <w:rFonts w:ascii="Calibri" w:hAnsi="Calibri" w:eastAsia="Calibri" w:cs="Calibri"/>
          <w:b w:val="0"/>
          <w:i w:val="0"/>
          <w:color w:val="555F6B"/>
          <w:sz w:val="19"/>
        </w:rPr>
        <w:t>Sources checked October 27 and 28, 2026. Part A: 27 rows. Part B: 21 rows.</w:t>
      </w:r>
    </w:p>
    <w:tbl>
      <w:tblPr>
        <w:tblStyle w:val="TableGrid"/>
        <w:tblW w:type="auto" w:w="0"/>
        <w:tblLayout w:type="fixed"/>
        <w:tblCellMar>
          <w:top w:w="70" w:type="dxa"/>
          <w:left w:w="80" w:type="dxa"/>
          <w:bottom w:w="70" w:type="dxa"/>
          <w:right w:w="80" w:type="dxa"/>
        </w:tblCellMar>
        <w:tblLook w:firstColumn="1" w:firstRow="1" w:lastColumn="0" w:lastRow="0" w:noHBand="0" w:noVBand="1" w:val="04A0"/>
      </w:tblPr>
      <w:tblGrid>
        <w:gridCol w:w="5215"/>
        <w:gridCol w:w="5215"/>
        <w:gridCol w:w="5272"/>
      </w:tblGrid>
      <w:tr>
        <w:tc>
          <w:tcPr>
            <w:tcW w:type="dxa" w:w="5216"/>
          </w:tcPr>
          <w:p>
            <w:pPr>
              <w:spacing w:before="0" w:after="20" w:line="240" w:lineRule="auto"/>
            </w:pPr>
            <w:r>
              <w:rPr>
                <w:rFonts w:ascii="Calibri" w:hAnsi="Calibri" w:eastAsia="Calibri" w:cs="Calibri"/>
                <w:b w:val="0"/>
                <w:i w:val="0"/>
                <w:color w:val="1F2937"/>
                <w:sz w:val="19"/>
              </w:rPr>
              <w:t>Company or entity: ______________________________</w:t>
            </w:r>
          </w:p>
        </w:tc>
        <w:tc>
          <w:tcPr>
            <w:tcW w:type="dxa" w:w="5216"/>
          </w:tcPr>
          <w:p>
            <w:pPr>
              <w:spacing w:before="0" w:after="20" w:line="240" w:lineRule="auto"/>
            </w:pPr>
            <w:r>
              <w:rPr>
                <w:rFonts w:ascii="Calibri" w:hAnsi="Calibri" w:eastAsia="Calibri" w:cs="Calibri"/>
                <w:b w:val="0"/>
                <w:i w:val="0"/>
                <w:color w:val="1F2937"/>
                <w:sz w:val="19"/>
              </w:rPr>
              <w:t>Prepared by: ______________________________</w:t>
            </w:r>
          </w:p>
        </w:tc>
        <w:tc>
          <w:tcPr>
            <w:tcW w:type="dxa" w:w="5272"/>
          </w:tcPr>
          <w:p>
            <w:pPr>
              <w:spacing w:before="0" w:after="20" w:line="240" w:lineRule="auto"/>
            </w:pPr>
            <w:r>
              <w:rPr>
                <w:rFonts w:ascii="Calibri" w:hAnsi="Calibri" w:eastAsia="Calibri" w:cs="Calibri"/>
                <w:b w:val="0"/>
                <w:i w:val="0"/>
                <w:color w:val="1F2937"/>
                <w:sz w:val="19"/>
              </w:rPr>
              <w:t>Date: ____________________</w:t>
            </w:r>
          </w:p>
        </w:tc>
      </w:tr>
      <w:tr>
        <w:tc>
          <w:tcPr>
            <w:tcW w:type="dxa" w:w="5216"/>
          </w:tcPr>
          <w:p>
            <w:pPr>
              <w:spacing w:before="0" w:after="20" w:line="240" w:lineRule="auto"/>
            </w:pPr>
            <w:r>
              <w:rPr>
                <w:rFonts w:ascii="Calibri" w:hAnsi="Calibri" w:eastAsia="Calibri" w:cs="Calibri"/>
                <w:b w:val="0"/>
                <w:i w:val="0"/>
                <w:color w:val="1F2937"/>
                <w:sz w:val="19"/>
              </w:rPr>
              <w:t>Review owner: ______________________________</w:t>
            </w:r>
          </w:p>
        </w:tc>
        <w:tc>
          <w:tcPr>
            <w:tcW w:type="dxa" w:w="5216"/>
          </w:tcPr>
          <w:p>
            <w:pPr>
              <w:spacing w:before="0" w:after="20" w:line="240" w:lineRule="auto"/>
            </w:pPr>
            <w:r>
              <w:rPr>
                <w:rFonts w:ascii="Calibri" w:hAnsi="Calibri" w:eastAsia="Calibri" w:cs="Calibri"/>
                <w:b w:val="0"/>
                <w:i w:val="0"/>
                <w:color w:val="1F2937"/>
                <w:sz w:val="19"/>
              </w:rPr>
              <w:t>Version: ____________________</w:t>
            </w:r>
          </w:p>
        </w:tc>
        <w:tc>
          <w:tcPr>
            <w:tcW w:type="dxa" w:w="5272"/>
          </w:tcPr>
          <w:p>
            <w:pPr>
              <w:spacing w:before="0" w:after="20" w:line="240" w:lineRule="auto"/>
            </w:pPr>
            <w:r>
              <w:rPr>
                <w:rFonts w:ascii="Calibri" w:hAnsi="Calibri" w:eastAsia="Calibri" w:cs="Calibri"/>
                <w:b w:val="0"/>
                <w:i w:val="0"/>
                <w:color w:val="1F2937"/>
                <w:sz w:val="19"/>
              </w:rPr>
              <w:t>Next review date: ____________________</w:t>
            </w:r>
          </w:p>
        </w:tc>
      </w:tr>
    </w:tbl>
    <w:p>
      <w:pPr>
        <w:keepNext/>
        <w:spacing w:before="160" w:after="60" w:line="240" w:lineRule="auto"/>
      </w:pPr>
      <w:r>
        <w:rPr>
          <w:rFonts w:ascii="Calibri" w:hAnsi="Calibri" w:eastAsia="Calibri" w:cs="Calibri"/>
          <w:b/>
          <w:i w:val="0"/>
          <w:color w:val="1F2937"/>
          <w:sz w:val="24"/>
        </w:rPr>
        <w:t>Jurisdictions where you have workers</w:t>
      </w:r>
    </w:p>
    <w:tbl>
      <w:tblPr>
        <w:tblStyle w:val="TableGrid"/>
        <w:tblW w:type="auto" w:w="0"/>
        <w:tblLayout w:type="fixed"/>
        <w:tblCellMar>
          <w:top w:w="60" w:type="dxa"/>
          <w:left w:w="60" w:type="dxa"/>
          <w:bottom w:w="60" w:type="dxa"/>
          <w:right w:w="60" w:type="dxa"/>
        </w:tblCellMar>
        <w:tblLook w:firstColumn="1" w:firstRow="1" w:lastColumn="0" w:lastRow="0" w:noHBand="0" w:noVBand="1" w:val="04A0"/>
      </w:tblPr>
      <w:tblGrid>
        <w:gridCol w:w="1744"/>
        <w:gridCol w:w="1744"/>
        <w:gridCol w:w="1744"/>
        <w:gridCol w:w="1744"/>
        <w:gridCol w:w="1744"/>
        <w:gridCol w:w="1744"/>
        <w:gridCol w:w="1744"/>
        <w:gridCol w:w="1744"/>
        <w:gridCol w:w="1744"/>
      </w:tblGrid>
      <w:tr>
        <w:tc>
          <w:tcPr>
            <w:tcW w:type="dxa" w:w="1745"/>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United Kingdom (Great Britain rows)</w:t>
            </w:r>
          </w:p>
        </w:tc>
        <w:tc>
          <w:tcPr>
            <w:tcW w:type="dxa" w:w="1745"/>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United States</w:t>
            </w:r>
          </w:p>
        </w:tc>
        <w:tc>
          <w:tcPr>
            <w:tcW w:type="dxa" w:w="1745"/>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European Union</w:t>
            </w:r>
          </w:p>
        </w:tc>
        <w:tc>
          <w:tcPr>
            <w:tcW w:type="dxa" w:w="1745"/>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Canada</w:t>
            </w:r>
          </w:p>
        </w:tc>
        <w:tc>
          <w:tcPr>
            <w:tcW w:type="dxa" w:w="1745"/>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Australia</w:t>
            </w:r>
          </w:p>
        </w:tc>
        <w:tc>
          <w:tcPr>
            <w:tcW w:type="dxa" w:w="1745"/>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Germany</w:t>
            </w:r>
          </w:p>
        </w:tc>
        <w:tc>
          <w:tcPr>
            <w:tcW w:type="dxa" w:w="1745"/>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Singapore</w:t>
            </w:r>
          </w:p>
        </w:tc>
        <w:tc>
          <w:tcPr>
            <w:tcW w:type="dxa" w:w="1745"/>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UAE</w:t>
            </w:r>
          </w:p>
        </w:tc>
        <w:tc>
          <w:tcPr>
            <w:tcW w:type="dxa" w:w="1745"/>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India</w:t>
            </w:r>
          </w:p>
        </w:tc>
      </w:tr>
    </w:tbl>
    <w:p>
      <w:pPr>
        <w:spacing w:before="40" w:after="80" w:line="240" w:lineRule="auto"/>
      </w:pPr>
      <w:r>
        <w:rPr>
          <w:rFonts w:ascii="Calibri" w:hAnsi="Calibri" w:eastAsia="Calibri" w:cs="Calibri"/>
          <w:b w:val="0"/>
          <w:i w:val="0"/>
          <w:color w:val="555F6B"/>
          <w:sz w:val="17"/>
        </w:rPr>
        <w:t>United States rows name the state. United Kingdom rows cover Great Britain (England, Scotland and Wales); Northern Ireland needs a separate check. Delete rows for places where you have no workers, or mark them No in Part A.</w:t>
      </w:r>
    </w:p>
    <w:p>
      <w:pPr>
        <w:keepNext/>
        <w:spacing w:before="80" w:after="60" w:line="240" w:lineRule="auto"/>
      </w:pPr>
      <w:r>
        <w:rPr>
          <w:rFonts w:ascii="Calibri" w:hAnsi="Calibri" w:eastAsia="Calibri" w:cs="Calibri"/>
          <w:b/>
          <w:i w:val="0"/>
          <w:color w:val="1F2937"/>
          <w:sz w:val="24"/>
        </w:rPr>
        <w:t>Status words</w:t>
      </w:r>
    </w:p>
    <w:tbl>
      <w:tblPr>
        <w:tblStyle w:val="TableGrid"/>
        <w:tblW w:type="auto" w:w="0"/>
        <w:tblLayout w:type="fixed"/>
        <w:tblCellMar>
          <w:top w:w="40" w:type="dxa"/>
          <w:left w:w="60" w:type="dxa"/>
          <w:bottom w:w="40" w:type="dxa"/>
          <w:right w:w="60" w:type="dxa"/>
        </w:tblCellMar>
        <w:tblLook w:firstColumn="1" w:firstRow="1" w:lastColumn="0" w:lastRow="0" w:noHBand="0" w:noVBand="1" w:val="04A0"/>
      </w:tblPr>
      <w:tblGrid>
        <w:gridCol w:w="1360"/>
        <w:gridCol w:w="3118"/>
        <w:gridCol w:w="11225"/>
      </w:tblGrid>
      <w:tr>
        <w:tc>
          <w:tcPr>
            <w:tcW w:type="dxa" w:w="1361"/>
            <w:shd w:val="clear" w:color="auto" w:fill="DCE6F1"/>
          </w:tcPr>
          <w:p>
            <w:pPr>
              <w:spacing w:before="0" w:after="20" w:line="240" w:lineRule="auto"/>
            </w:pPr>
            <w:r>
              <w:rPr>
                <w:rFonts w:ascii="Calibri" w:hAnsi="Calibri" w:eastAsia="Calibri" w:cs="Calibri"/>
                <w:b/>
                <w:i w:val="0"/>
                <w:color w:val="1F2937"/>
                <w:sz w:val="17"/>
              </w:rPr>
              <w:t>Part</w:t>
            </w:r>
          </w:p>
        </w:tc>
        <w:tc>
          <w:tcPr>
            <w:tcW w:type="dxa" w:w="3118"/>
            <w:shd w:val="clear" w:color="auto" w:fill="DCE6F1"/>
          </w:tcPr>
          <w:p>
            <w:pPr>
              <w:spacing w:before="0" w:after="20" w:line="240" w:lineRule="auto"/>
            </w:pPr>
            <w:r>
              <w:rPr>
                <w:rFonts w:ascii="Calibri" w:hAnsi="Calibri" w:eastAsia="Calibri" w:cs="Calibri"/>
                <w:b/>
                <w:i w:val="0"/>
                <w:color w:val="1F2937"/>
                <w:sz w:val="17"/>
              </w:rPr>
              <w:t>Status</w:t>
            </w:r>
          </w:p>
        </w:tc>
        <w:tc>
          <w:tcPr>
            <w:tcW w:type="dxa" w:w="11225"/>
            <w:shd w:val="clear" w:color="auto" w:fill="DCE6F1"/>
          </w:tcPr>
          <w:p>
            <w:pPr>
              <w:spacing w:before="0" w:after="20" w:line="240" w:lineRule="auto"/>
            </w:pPr>
            <w:r>
              <w:rPr>
                <w:rFonts w:ascii="Calibri" w:hAnsi="Calibri" w:eastAsia="Calibri" w:cs="Calibri"/>
                <w:b/>
                <w:i w:val="0"/>
                <w:color w:val="1F2937"/>
                <w:sz w:val="17"/>
              </w:rPr>
              <w:t>Meaning</w:t>
            </w:r>
          </w:p>
        </w:tc>
      </w:tr>
      <w:tr>
        <w:tc>
          <w:tcPr>
            <w:tcW w:type="dxa" w:w="1360"/>
          </w:tcPr>
          <w:p>
            <w:pPr>
              <w:spacing w:before="0" w:after="20" w:line="240" w:lineRule="auto"/>
            </w:pPr>
            <w:r>
              <w:rPr>
                <w:rFonts w:ascii="Calibri" w:hAnsi="Calibri" w:eastAsia="Calibri" w:cs="Calibri"/>
                <w:b w:val="0"/>
                <w:i w:val="0"/>
                <w:color w:val="1F2937"/>
                <w:sz w:val="17"/>
              </w:rPr>
              <w:t>A</w:t>
            </w:r>
          </w:p>
        </w:tc>
        <w:tc>
          <w:tcPr>
            <w:tcW w:type="dxa" w:w="3118"/>
            <w:shd w:val="clear" w:color="auto" w:fill="E3F1E6"/>
          </w:tcPr>
          <w:p>
            <w:pPr>
              <w:spacing w:before="0" w:after="20" w:line="240" w:lineRule="auto"/>
            </w:pPr>
            <w:r>
              <w:rPr>
                <w:rFonts w:ascii="Calibri" w:hAnsi="Calibri" w:eastAsia="Calibri" w:cs="Calibri"/>
                <w:b/>
                <w:i w:val="0"/>
                <w:color w:val="1F2937"/>
                <w:sz w:val="17"/>
              </w:rPr>
              <w:t>In force</w:t>
            </w:r>
          </w:p>
        </w:tc>
        <w:tc>
          <w:tcPr>
            <w:tcW w:type="dxa" w:w="11225"/>
          </w:tcPr>
          <w:p>
            <w:pPr>
              <w:spacing w:before="0" w:after="20" w:line="240" w:lineRule="auto"/>
            </w:pPr>
            <w:r>
              <w:rPr>
                <w:rFonts w:ascii="Calibri" w:hAnsi="Calibri" w:eastAsia="Calibri" w:cs="Calibri"/>
                <w:b w:val="0"/>
                <w:i w:val="0"/>
                <w:color w:val="1F2937"/>
                <w:sz w:val="17"/>
              </w:rPr>
              <w:t>The source shows the rule binding now. The date shown is when it started, or a deadline or end date to plan for.</w:t>
            </w:r>
          </w:p>
        </w:tc>
      </w:tr>
      <w:tr>
        <w:tc>
          <w:tcPr>
            <w:tcW w:type="dxa" w:w="1360"/>
          </w:tcPr>
          <w:p>
            <w:pPr>
              <w:spacing w:before="0" w:after="20" w:line="240" w:lineRule="auto"/>
            </w:pPr>
            <w:r>
              <w:rPr>
                <w:rFonts w:ascii="Calibri" w:hAnsi="Calibri" w:eastAsia="Calibri" w:cs="Calibri"/>
                <w:b w:val="0"/>
                <w:i w:val="0"/>
                <w:color w:val="1F2937"/>
                <w:sz w:val="17"/>
              </w:rPr>
              <w:t>A</w:t>
            </w:r>
          </w:p>
        </w:tc>
        <w:tc>
          <w:tcPr>
            <w:tcW w:type="dxa" w:w="3118"/>
            <w:shd w:val="clear" w:color="auto" w:fill="FFF4D6"/>
          </w:tcPr>
          <w:p>
            <w:pPr>
              <w:spacing w:before="0" w:after="20" w:line="240" w:lineRule="auto"/>
            </w:pPr>
            <w:r>
              <w:rPr>
                <w:rFonts w:ascii="Calibri" w:hAnsi="Calibri" w:eastAsia="Calibri" w:cs="Calibri"/>
                <w:b/>
                <w:i w:val="0"/>
                <w:color w:val="1F2937"/>
                <w:sz w:val="17"/>
              </w:rPr>
              <w:t>Enacted, date set</w:t>
            </w:r>
          </w:p>
        </w:tc>
        <w:tc>
          <w:tcPr>
            <w:tcW w:type="dxa" w:w="11225"/>
          </w:tcPr>
          <w:p>
            <w:pPr>
              <w:spacing w:before="0" w:after="20" w:line="240" w:lineRule="auto"/>
            </w:pPr>
            <w:r>
              <w:rPr>
                <w:rFonts w:ascii="Calibri" w:hAnsi="Calibri" w:eastAsia="Calibri" w:cs="Calibri"/>
                <w:b w:val="0"/>
                <w:i w:val="0"/>
                <w:color w:val="1F2937"/>
                <w:sz w:val="17"/>
              </w:rPr>
              <w:t>Law or regulation made, with a start or deadline date in the source.</w:t>
            </w:r>
          </w:p>
        </w:tc>
      </w:tr>
      <w:tr>
        <w:tc>
          <w:tcPr>
            <w:tcW w:type="dxa" w:w="1360"/>
          </w:tcPr>
          <w:p>
            <w:pPr>
              <w:spacing w:before="0" w:after="20" w:line="240" w:lineRule="auto"/>
            </w:pPr>
            <w:r>
              <w:rPr>
                <w:rFonts w:ascii="Calibri" w:hAnsi="Calibri" w:eastAsia="Calibri" w:cs="Calibri"/>
                <w:b w:val="0"/>
                <w:i w:val="0"/>
                <w:color w:val="1F2937"/>
                <w:sz w:val="17"/>
              </w:rPr>
              <w:t>A</w:t>
            </w:r>
          </w:p>
        </w:tc>
        <w:tc>
          <w:tcPr>
            <w:tcW w:type="dxa" w:w="3118"/>
            <w:shd w:val="clear" w:color="auto" w:fill="E4ECF7"/>
          </w:tcPr>
          <w:p>
            <w:pPr>
              <w:spacing w:before="0" w:after="20" w:line="240" w:lineRule="auto"/>
            </w:pPr>
            <w:r>
              <w:rPr>
                <w:rFonts w:ascii="Calibri" w:hAnsi="Calibri" w:eastAsia="Calibri" w:cs="Calibri"/>
                <w:b/>
                <w:i w:val="0"/>
                <w:color w:val="1F2937"/>
                <w:sz w:val="17"/>
              </w:rPr>
              <w:t>In force, varies by country</w:t>
            </w:r>
          </w:p>
        </w:tc>
        <w:tc>
          <w:tcPr>
            <w:tcW w:type="dxa" w:w="11225"/>
          </w:tcPr>
          <w:p>
            <w:pPr>
              <w:spacing w:before="0" w:after="20" w:line="240" w:lineRule="auto"/>
            </w:pPr>
            <w:r>
              <w:rPr>
                <w:rFonts w:ascii="Calibri" w:hAnsi="Calibri" w:eastAsia="Calibri" w:cs="Calibri"/>
                <w:b w:val="0"/>
                <w:i w:val="0"/>
                <w:color w:val="1F2937"/>
                <w:sz w:val="17"/>
              </w:rPr>
              <w:t>An EU directive that binds Member States; the national text decides what binds your employer.</w:t>
            </w:r>
          </w:p>
        </w:tc>
      </w:tr>
      <w:tr>
        <w:tc>
          <w:tcPr>
            <w:tcW w:type="dxa" w:w="1360"/>
          </w:tcPr>
          <w:p>
            <w:pPr>
              <w:spacing w:before="0" w:after="20" w:line="240" w:lineRule="auto"/>
            </w:pPr>
            <w:r>
              <w:rPr>
                <w:rFonts w:ascii="Calibri" w:hAnsi="Calibri" w:eastAsia="Calibri" w:cs="Calibri"/>
                <w:b w:val="0"/>
                <w:i w:val="0"/>
                <w:color w:val="1F2937"/>
                <w:sz w:val="17"/>
              </w:rPr>
              <w:t>B</w:t>
            </w:r>
          </w:p>
        </w:tc>
        <w:tc>
          <w:tcPr>
            <w:tcW w:type="dxa" w:w="3118"/>
            <w:shd w:val="clear" w:color="auto" w:fill="EFEFEF"/>
          </w:tcPr>
          <w:p>
            <w:pPr>
              <w:spacing w:before="0" w:after="20" w:line="240" w:lineRule="auto"/>
            </w:pPr>
            <w:r>
              <w:rPr>
                <w:rFonts w:ascii="Calibri" w:hAnsi="Calibri" w:eastAsia="Calibri" w:cs="Calibri"/>
                <w:b/>
                <w:i w:val="0"/>
                <w:color w:val="1F2937"/>
                <w:sz w:val="17"/>
              </w:rPr>
              <w:t>Announced</w:t>
            </w:r>
          </w:p>
        </w:tc>
        <w:tc>
          <w:tcPr>
            <w:tcW w:type="dxa" w:w="11225"/>
          </w:tcPr>
          <w:p>
            <w:pPr>
              <w:spacing w:before="0" w:after="20" w:line="240" w:lineRule="auto"/>
            </w:pPr>
            <w:r>
              <w:rPr>
                <w:rFonts w:ascii="Calibri" w:hAnsi="Calibri" w:eastAsia="Calibri" w:cs="Calibri"/>
                <w:b w:val="0"/>
                <w:i w:val="0"/>
                <w:color w:val="1F2937"/>
                <w:sz w:val="17"/>
              </w:rPr>
              <w:t>A government or agency source states a future date or figure; we found no commencement or final text for the dated measure in what we read. Parts of a law can already be in force for other purposes.</w:t>
            </w:r>
          </w:p>
        </w:tc>
      </w:tr>
      <w:tr>
        <w:tc>
          <w:tcPr>
            <w:tcW w:type="dxa" w:w="1360"/>
          </w:tcPr>
          <w:p>
            <w:pPr>
              <w:spacing w:before="0" w:after="20" w:line="240" w:lineRule="auto"/>
            </w:pPr>
            <w:r>
              <w:rPr>
                <w:rFonts w:ascii="Calibri" w:hAnsi="Calibri" w:eastAsia="Calibri" w:cs="Calibri"/>
                <w:b w:val="0"/>
                <w:i w:val="0"/>
                <w:color w:val="1F2937"/>
                <w:sz w:val="17"/>
              </w:rPr>
              <w:t>B</w:t>
            </w:r>
          </w:p>
        </w:tc>
        <w:tc>
          <w:tcPr>
            <w:tcW w:type="dxa" w:w="3118"/>
            <w:shd w:val="clear" w:color="auto" w:fill="EFEFEF"/>
          </w:tcPr>
          <w:p>
            <w:pPr>
              <w:spacing w:before="0" w:after="20" w:line="240" w:lineRule="auto"/>
            </w:pPr>
            <w:r>
              <w:rPr>
                <w:rFonts w:ascii="Calibri" w:hAnsi="Calibri" w:eastAsia="Calibri" w:cs="Calibri"/>
                <w:b/>
                <w:i w:val="0"/>
                <w:color w:val="1F2937"/>
                <w:sz w:val="17"/>
              </w:rPr>
              <w:t>Bill</w:t>
            </w:r>
          </w:p>
        </w:tc>
        <w:tc>
          <w:tcPr>
            <w:tcW w:type="dxa" w:w="11225"/>
          </w:tcPr>
          <w:p>
            <w:pPr>
              <w:spacing w:before="0" w:after="20" w:line="240" w:lineRule="auto"/>
            </w:pPr>
            <w:r>
              <w:rPr>
                <w:rFonts w:ascii="Calibri" w:hAnsi="Calibri" w:eastAsia="Calibri" w:cs="Calibri"/>
                <w:b w:val="0"/>
                <w:i w:val="0"/>
                <w:color w:val="1F2937"/>
                <w:sz w:val="17"/>
              </w:rPr>
              <w:t>A bill has been introduced and, in what we read, has not passed.</w:t>
            </w:r>
          </w:p>
        </w:tc>
      </w:tr>
      <w:tr>
        <w:tc>
          <w:tcPr>
            <w:tcW w:type="dxa" w:w="1360"/>
          </w:tcPr>
          <w:p>
            <w:pPr>
              <w:spacing w:before="0" w:after="20" w:line="240" w:lineRule="auto"/>
            </w:pPr>
            <w:r>
              <w:rPr>
                <w:rFonts w:ascii="Calibri" w:hAnsi="Calibri" w:eastAsia="Calibri" w:cs="Calibri"/>
                <w:b w:val="0"/>
                <w:i w:val="0"/>
                <w:color w:val="1F2937"/>
                <w:sz w:val="17"/>
              </w:rPr>
              <w:t>B</w:t>
            </w:r>
          </w:p>
        </w:tc>
        <w:tc>
          <w:tcPr>
            <w:tcW w:type="dxa" w:w="3118"/>
            <w:shd w:val="clear" w:color="auto" w:fill="EFEFEF"/>
          </w:tcPr>
          <w:p>
            <w:pPr>
              <w:spacing w:before="0" w:after="20" w:line="240" w:lineRule="auto"/>
            </w:pPr>
            <w:r>
              <w:rPr>
                <w:rFonts w:ascii="Calibri" w:hAnsi="Calibri" w:eastAsia="Calibri" w:cs="Calibri"/>
                <w:b/>
                <w:i w:val="0"/>
                <w:color w:val="1F2937"/>
                <w:sz w:val="17"/>
              </w:rPr>
              <w:t>Exposure draft</w:t>
            </w:r>
          </w:p>
        </w:tc>
        <w:tc>
          <w:tcPr>
            <w:tcW w:type="dxa" w:w="11225"/>
          </w:tcPr>
          <w:p>
            <w:pPr>
              <w:spacing w:before="0" w:after="20" w:line="240" w:lineRule="auto"/>
            </w:pPr>
            <w:r>
              <w:rPr>
                <w:rFonts w:ascii="Calibri" w:hAnsi="Calibri" w:eastAsia="Calibri" w:cs="Calibri"/>
                <w:b w:val="0"/>
                <w:i w:val="0"/>
                <w:color w:val="1F2937"/>
                <w:sz w:val="17"/>
              </w:rPr>
              <w:t>Draft legislation released for consultation.</w:t>
            </w:r>
          </w:p>
        </w:tc>
      </w:tr>
      <w:tr>
        <w:tc>
          <w:tcPr>
            <w:tcW w:type="dxa" w:w="1360"/>
          </w:tcPr>
          <w:p>
            <w:pPr>
              <w:spacing w:before="0" w:after="20" w:line="240" w:lineRule="auto"/>
            </w:pPr>
            <w:r>
              <w:rPr>
                <w:rFonts w:ascii="Calibri" w:hAnsi="Calibri" w:eastAsia="Calibri" w:cs="Calibri"/>
                <w:b w:val="0"/>
                <w:i w:val="0"/>
                <w:color w:val="1F2937"/>
                <w:sz w:val="17"/>
              </w:rPr>
              <w:t>B</w:t>
            </w:r>
          </w:p>
        </w:tc>
        <w:tc>
          <w:tcPr>
            <w:tcW w:type="dxa" w:w="3118"/>
            <w:shd w:val="clear" w:color="auto" w:fill="FCE4D6"/>
          </w:tcPr>
          <w:p>
            <w:pPr>
              <w:spacing w:before="0" w:after="20" w:line="240" w:lineRule="auto"/>
            </w:pPr>
            <w:r>
              <w:rPr>
                <w:rFonts w:ascii="Calibri" w:hAnsi="Calibri" w:eastAsia="Calibri" w:cs="Calibri"/>
                <w:b/>
                <w:i w:val="0"/>
                <w:color w:val="1F2937"/>
                <w:sz w:val="17"/>
              </w:rPr>
              <w:t>Enacted, details unconfirmed</w:t>
            </w:r>
          </w:p>
        </w:tc>
        <w:tc>
          <w:tcPr>
            <w:tcW w:type="dxa" w:w="11225"/>
          </w:tcPr>
          <w:p>
            <w:pPr>
              <w:spacing w:before="0" w:after="20" w:line="240" w:lineRule="auto"/>
            </w:pPr>
            <w:r>
              <w:rPr>
                <w:rFonts w:ascii="Calibri" w:hAnsi="Calibri" w:eastAsia="Calibri" w:cs="Calibri"/>
                <w:b w:val="0"/>
                <w:i w:val="0"/>
                <w:color w:val="1F2937"/>
                <w:sz w:val="17"/>
              </w:rPr>
              <w:t>Law or rule made, but its start date, scope or text is not confirmed in what we read. Read the instrument now.</w:t>
            </w:r>
          </w:p>
        </w:tc>
      </w:tr>
      <w:tr>
        <w:tc>
          <w:tcPr>
            <w:tcW w:type="dxa" w:w="1360"/>
          </w:tcPr>
          <w:p>
            <w:pPr>
              <w:spacing w:before="0" w:after="20" w:line="240" w:lineRule="auto"/>
            </w:pPr>
            <w:r>
              <w:rPr>
                <w:rFonts w:ascii="Calibri" w:hAnsi="Calibri" w:eastAsia="Calibri" w:cs="Calibri"/>
                <w:b w:val="0"/>
                <w:i w:val="0"/>
                <w:color w:val="1F2937"/>
                <w:sz w:val="17"/>
              </w:rPr>
              <w:t>B</w:t>
            </w:r>
          </w:p>
        </w:tc>
        <w:tc>
          <w:tcPr>
            <w:tcW w:type="dxa" w:w="3118"/>
            <w:shd w:val="clear" w:color="auto" w:fill="EFEFEF"/>
          </w:tcPr>
          <w:p>
            <w:pPr>
              <w:spacing w:before="0" w:after="20" w:line="240" w:lineRule="auto"/>
            </w:pPr>
            <w:r>
              <w:rPr>
                <w:rFonts w:ascii="Calibri" w:hAnsi="Calibri" w:eastAsia="Calibri" w:cs="Calibri"/>
                <w:b/>
                <w:i w:val="0"/>
                <w:color w:val="1F2937"/>
                <w:sz w:val="17"/>
              </w:rPr>
              <w:t>Not in effect</w:t>
            </w:r>
          </w:p>
        </w:tc>
        <w:tc>
          <w:tcPr>
            <w:tcW w:type="dxa" w:w="11225"/>
          </w:tcPr>
          <w:p>
            <w:pPr>
              <w:spacing w:before="0" w:after="20" w:line="240" w:lineRule="auto"/>
            </w:pPr>
            <w:r>
              <w:rPr>
                <w:rFonts w:ascii="Calibri" w:hAnsi="Calibri" w:eastAsia="Calibri" w:cs="Calibri"/>
                <w:b w:val="0"/>
                <w:i w:val="0"/>
                <w:color w:val="1F2937"/>
                <w:sz w:val="17"/>
              </w:rPr>
              <w:t>The source states the rule is not in effect.</w:t>
            </w:r>
          </w:p>
        </w:tc>
      </w:tr>
      <w:tr>
        <w:tc>
          <w:tcPr>
            <w:tcW w:type="dxa" w:w="1360"/>
          </w:tcPr>
          <w:p>
            <w:pPr>
              <w:spacing w:before="0" w:after="20" w:line="240" w:lineRule="auto"/>
            </w:pPr>
            <w:r>
              <w:rPr>
                <w:rFonts w:ascii="Calibri" w:hAnsi="Calibri" w:eastAsia="Calibri" w:cs="Calibri"/>
                <w:b w:val="0"/>
                <w:i w:val="0"/>
                <w:color w:val="1F2937"/>
                <w:sz w:val="17"/>
              </w:rPr>
              <w:t>B</w:t>
            </w:r>
          </w:p>
        </w:tc>
        <w:tc>
          <w:tcPr>
            <w:tcW w:type="dxa" w:w="3118"/>
            <w:shd w:val="clear" w:color="auto" w:fill="EFEFEF"/>
          </w:tcPr>
          <w:p>
            <w:pPr>
              <w:spacing w:before="0" w:after="20" w:line="240" w:lineRule="auto"/>
            </w:pPr>
            <w:r>
              <w:rPr>
                <w:rFonts w:ascii="Calibri" w:hAnsi="Calibri" w:eastAsia="Calibri" w:cs="Calibri"/>
                <w:b/>
                <w:i w:val="0"/>
                <w:color w:val="1F2937"/>
                <w:sz w:val="17"/>
              </w:rPr>
              <w:t>Not yet decided</w:t>
            </w:r>
          </w:p>
        </w:tc>
        <w:tc>
          <w:tcPr>
            <w:tcW w:type="dxa" w:w="11225"/>
          </w:tcPr>
          <w:p>
            <w:pPr>
              <w:spacing w:before="0" w:after="20" w:line="240" w:lineRule="auto"/>
            </w:pPr>
            <w:r>
              <w:rPr>
                <w:rFonts w:ascii="Calibri" w:hAnsi="Calibri" w:eastAsia="Calibri" w:cs="Calibri"/>
                <w:b w:val="0"/>
                <w:i w:val="0"/>
                <w:color w:val="1F2937"/>
                <w:sz w:val="17"/>
              </w:rPr>
              <w:t>No decision, bill or date exists yet.</w:t>
            </w:r>
          </w:p>
        </w:tc>
      </w:tr>
    </w:tbl>
    <w:p>
      <w:r>
        <w:br w:type="page"/>
      </w:r>
    </w:p>
    <w:p>
      <w:pPr>
        <w:keepNext/>
        <w:spacing w:before="0" w:after="60" w:line="240" w:lineRule="auto"/>
      </w:pPr>
      <w:r>
        <w:rPr>
          <w:rFonts w:ascii="Calibri" w:hAnsi="Calibri" w:eastAsia="Calibri" w:cs="Calibri"/>
          <w:b/>
          <w:i w:val="0"/>
          <w:color w:val="1F2937"/>
          <w:sz w:val="28"/>
        </w:rPr>
        <w:t>Part A. In force, or enacted with a date: review the clause</w:t>
      </w:r>
    </w:p>
    <w:p>
      <w:pPr>
        <w:spacing w:before="0" w:after="80" w:line="240" w:lineRule="auto"/>
      </w:pPr>
      <w:r>
        <w:rPr>
          <w:rFonts w:ascii="Calibri" w:hAnsi="Calibri" w:eastAsia="Calibri" w:cs="Calibri"/>
          <w:b w:val="0"/>
          <w:i w:val="0"/>
          <w:color w:val="555F6B"/>
          <w:sz w:val="18"/>
        </w:rPr>
        <w:t>Tick Reviewed (the box under the reference) when you have read the source and checked the document. Mark Applies to us? only after reading the scope in the source.</w:t>
      </w:r>
    </w:p>
    <w:tbl>
      <w:tblPr>
        <w:tblStyle w:val="TableGrid"/>
        <w:tblW w:type="auto" w:w="0"/>
        <w:jc w:val="center"/>
        <w:tblLayout w:type="fixed"/>
        <w:tblCellMar>
          <w:top w:w="35" w:type="dxa"/>
          <w:left w:w="50" w:type="dxa"/>
          <w:bottom w:w="35" w:type="dxa"/>
          <w:right w:w="50" w:type="dxa"/>
        </w:tblCellMar>
        <w:tblLook w:firstColumn="1" w:firstRow="1" w:lastColumn="0" w:lastRow="0" w:noHBand="0" w:noVBand="1" w:val="04A0"/>
      </w:tblPr>
      <w:tblGrid>
        <w:gridCol w:w="793"/>
        <w:gridCol w:w="1417"/>
        <w:gridCol w:w="2494"/>
        <w:gridCol w:w="1360"/>
        <w:gridCol w:w="1247"/>
        <w:gridCol w:w="4535"/>
        <w:gridCol w:w="1587"/>
        <w:gridCol w:w="1133"/>
        <w:gridCol w:w="1133"/>
      </w:tblGrid>
      <w:tr>
        <w:trPr>
          <w:tblHeader w:val="true"/>
        </w:trPr>
        <w:tc>
          <w:tcPr>
            <w:tcW w:type="dxa" w:w="794"/>
            <w:shd w:val="clear" w:color="auto" w:fill="DCE6F1"/>
          </w:tcPr>
          <w:p>
            <w:pPr>
              <w:spacing w:before="0" w:after="20" w:line="240" w:lineRule="auto"/>
            </w:pPr>
            <w:r>
              <w:rPr>
                <w:rFonts w:ascii="Calibri" w:hAnsi="Calibri" w:eastAsia="Calibri" w:cs="Calibri"/>
                <w:b/>
                <w:i w:val="0"/>
                <w:color w:val="1F2937"/>
                <w:sz w:val="16"/>
              </w:rPr>
              <w:t>Ref</w:t>
            </w:r>
          </w:p>
        </w:tc>
        <w:tc>
          <w:tcPr>
            <w:tcW w:type="dxa" w:w="1417"/>
            <w:shd w:val="clear" w:color="auto" w:fill="DCE6F1"/>
          </w:tcPr>
          <w:p>
            <w:pPr>
              <w:spacing w:before="0" w:after="20" w:line="240" w:lineRule="auto"/>
            </w:pPr>
            <w:r>
              <w:rPr>
                <w:rFonts w:ascii="Calibri" w:hAnsi="Calibri" w:eastAsia="Calibri" w:cs="Calibri"/>
                <w:b/>
                <w:i w:val="0"/>
                <w:color w:val="1F2937"/>
                <w:sz w:val="16"/>
              </w:rPr>
              <w:t>Jurisdiction</w:t>
            </w:r>
          </w:p>
        </w:tc>
        <w:tc>
          <w:tcPr>
            <w:tcW w:type="dxa" w:w="2494"/>
            <w:shd w:val="clear" w:color="auto" w:fill="DCE6F1"/>
          </w:tcPr>
          <w:p>
            <w:pPr>
              <w:spacing w:before="0" w:after="20" w:line="240" w:lineRule="auto"/>
            </w:pPr>
            <w:r>
              <w:rPr>
                <w:rFonts w:ascii="Calibri" w:hAnsi="Calibri" w:eastAsia="Calibri" w:cs="Calibri"/>
                <w:b/>
                <w:i w:val="0"/>
                <w:color w:val="1F2937"/>
                <w:sz w:val="16"/>
              </w:rPr>
              <w:t>Document and clause to review</w:t>
            </w:r>
          </w:p>
        </w:tc>
        <w:tc>
          <w:tcPr>
            <w:tcW w:type="dxa" w:w="1361"/>
            <w:shd w:val="clear" w:color="auto" w:fill="DCE6F1"/>
          </w:tcPr>
          <w:p>
            <w:pPr>
              <w:spacing w:before="0" w:after="20" w:line="240" w:lineRule="auto"/>
            </w:pPr>
            <w:r>
              <w:rPr>
                <w:rFonts w:ascii="Calibri" w:hAnsi="Calibri" w:eastAsia="Calibri" w:cs="Calibri"/>
                <w:b/>
                <w:i w:val="0"/>
                <w:color w:val="1F2937"/>
                <w:sz w:val="16"/>
              </w:rPr>
              <w:t>Trigger date</w:t>
            </w:r>
          </w:p>
        </w:tc>
        <w:tc>
          <w:tcPr>
            <w:tcW w:type="dxa" w:w="1247"/>
            <w:shd w:val="clear" w:color="auto" w:fill="DCE6F1"/>
          </w:tcPr>
          <w:p>
            <w:pPr>
              <w:spacing w:before="0" w:after="20" w:line="240" w:lineRule="auto"/>
            </w:pPr>
            <w:r>
              <w:rPr>
                <w:rFonts w:ascii="Calibri" w:hAnsi="Calibri" w:eastAsia="Calibri" w:cs="Calibri"/>
                <w:b/>
                <w:i w:val="0"/>
                <w:color w:val="1F2937"/>
                <w:sz w:val="16"/>
              </w:rPr>
              <w:t>Status</w:t>
            </w:r>
          </w:p>
        </w:tc>
        <w:tc>
          <w:tcPr>
            <w:tcW w:type="dxa" w:w="4535"/>
            <w:shd w:val="clear" w:color="auto" w:fill="DCE6F1"/>
          </w:tcPr>
          <w:p>
            <w:pPr>
              <w:spacing w:before="0" w:after="20" w:line="240" w:lineRule="auto"/>
            </w:pPr>
            <w:r>
              <w:rPr>
                <w:rFonts w:ascii="Calibri" w:hAnsi="Calibri" w:eastAsia="Calibri" w:cs="Calibri"/>
                <w:b/>
                <w:i w:val="0"/>
                <w:color w:val="1F2937"/>
                <w:sz w:val="16"/>
              </w:rPr>
              <w:t>What the source says</w:t>
            </w:r>
          </w:p>
        </w:tc>
        <w:tc>
          <w:tcPr>
            <w:tcW w:type="dxa" w:w="1587"/>
            <w:shd w:val="clear" w:color="auto" w:fill="DCE6F1"/>
          </w:tcPr>
          <w:p>
            <w:pPr>
              <w:spacing w:before="0" w:after="20" w:line="240" w:lineRule="auto"/>
            </w:pPr>
            <w:r>
              <w:rPr>
                <w:rFonts w:ascii="Calibri" w:hAnsi="Calibri" w:eastAsia="Calibri" w:cs="Calibri"/>
                <w:b/>
                <w:i w:val="0"/>
                <w:color w:val="1F2937"/>
                <w:sz w:val="16"/>
              </w:rPr>
              <w:t>Source</w:t>
            </w:r>
          </w:p>
        </w:tc>
        <w:tc>
          <w:tcPr>
            <w:tcW w:type="dxa" w:w="1134"/>
            <w:shd w:val="clear" w:color="auto" w:fill="DCE6F1"/>
          </w:tcPr>
          <w:p>
            <w:pPr>
              <w:spacing w:before="0" w:after="20" w:line="240" w:lineRule="auto"/>
            </w:pPr>
            <w:r>
              <w:rPr>
                <w:rFonts w:ascii="Calibri" w:hAnsi="Calibri" w:eastAsia="Calibri" w:cs="Calibri"/>
                <w:b/>
                <w:i w:val="0"/>
                <w:color w:val="1F2937"/>
                <w:sz w:val="16"/>
              </w:rPr>
              <w:t>Applies to us?</w:t>
            </w:r>
          </w:p>
        </w:tc>
        <w:tc>
          <w:tcPr>
            <w:tcW w:type="dxa" w:w="1134"/>
            <w:shd w:val="clear" w:color="auto" w:fill="DCE6F1"/>
          </w:tcPr>
          <w:p>
            <w:pPr>
              <w:spacing w:before="0" w:after="20" w:line="240" w:lineRule="auto"/>
            </w:pPr>
            <w:r>
              <w:rPr>
                <w:rFonts w:ascii="Calibri" w:hAnsi="Calibri" w:eastAsia="Calibri" w:cs="Calibri"/>
                <w:b/>
                <w:i w:val="0"/>
                <w:color w:val="1F2937"/>
                <w:sz w:val="16"/>
              </w:rPr>
              <w:t>Owner and due date</w:t>
            </w:r>
          </w:p>
        </w:tc>
      </w:tr>
      <w:tr>
        <w:trPr>
          <w:cantSplit w:val="true"/>
        </w:trPr>
        <w:tc>
          <w:tcPr>
            <w:tcW w:type="dxa" w:w="794"/>
          </w:tcPr>
          <w:p>
            <w:pPr>
              <w:spacing w:before="0" w:after="20" w:line="240" w:lineRule="auto"/>
            </w:pPr>
            <w:r>
              <w:rPr>
                <w:rFonts w:ascii="Calibri" w:hAnsi="Calibri" w:eastAsia="Calibri" w:cs="Calibri"/>
                <w:b/>
                <w:i w:val="0"/>
                <w:color w:val="1F2937"/>
                <w:sz w:val="16"/>
              </w:rPr>
              <w:t>A1</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Great Britain</w:t>
            </w:r>
          </w:p>
          <w:p>
            <w:pPr>
              <w:spacing w:before="0" w:after="20" w:line="240" w:lineRule="auto"/>
            </w:pPr>
            <w:r>
              <w:rPr>
                <w:rFonts w:ascii="Calibri" w:hAnsi="Calibri" w:eastAsia="Calibri" w:cs="Calibri"/>
                <w:b w:val="0"/>
                <w:i w:val="0"/>
                <w:color w:val="1F2937"/>
                <w:sz w:val="16"/>
              </w:rPr>
              <w:t>England, Scotland and Wales (not Northern Ireland)</w:t>
            </w:r>
          </w:p>
        </w:tc>
        <w:tc>
          <w:tcPr>
            <w:tcW w:type="dxa" w:w="2494"/>
          </w:tcPr>
          <w:p>
            <w:pPr>
              <w:spacing w:before="0" w:after="20" w:line="240" w:lineRule="auto"/>
            </w:pPr>
            <w:r>
              <w:rPr>
                <w:rFonts w:ascii="Calibri" w:hAnsi="Calibri" w:eastAsia="Calibri" w:cs="Calibri"/>
                <w:b/>
                <w:i w:val="0"/>
                <w:color w:val="1F2937"/>
                <w:sz w:val="16"/>
              </w:rPr>
              <w:t>Probation and notice clauses</w:t>
            </w:r>
          </w:p>
          <w:p>
            <w:pPr>
              <w:spacing w:before="0" w:after="20" w:line="240" w:lineRule="auto"/>
            </w:pPr>
            <w:r>
              <w:rPr>
                <w:rFonts w:ascii="Calibri" w:hAnsi="Calibri" w:eastAsia="Calibri" w:cs="Calibri"/>
                <w:b w:val="0"/>
                <w:i w:val="0"/>
                <w:color w:val="555F6B"/>
                <w:sz w:val="15"/>
              </w:rPr>
              <w:t>Documents: Employment contract template; Employee handbook</w:t>
            </w:r>
          </w:p>
        </w:tc>
        <w:tc>
          <w:tcPr>
            <w:tcW w:type="dxa" w:w="1361"/>
          </w:tcPr>
          <w:p>
            <w:pPr>
              <w:spacing w:before="0" w:after="20" w:line="240" w:lineRule="auto"/>
            </w:pPr>
            <w:r>
              <w:rPr>
                <w:rFonts w:ascii="Calibri" w:hAnsi="Calibri" w:eastAsia="Calibri" w:cs="Calibri"/>
                <w:b w:val="0"/>
                <w:i w:val="0"/>
                <w:color w:val="1F2937"/>
                <w:sz w:val="16"/>
              </w:rPr>
              <w:t>Jan 1,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In England, Scotland and Wales, the qualifying period for ordinary unfair dismissal protection falls from 2 years to 6 months for dismissals with an effective date of termination on or after January 1, 2027. Acas says someone with at least 6 months' service on that date is protected, and that ending probation early does not avoid legal risks. business.gov.uk says there will be no changes to notice periods, that employers must keep considering both statutory and contractual notice, and that statutory notice counts as service when working out the qualifying period.</w:t>
            </w:r>
          </w:p>
        </w:tc>
        <w:tc>
          <w:tcPr>
            <w:tcW w:type="dxa" w:w="1587"/>
          </w:tcPr>
          <w:p>
            <w:pPr>
              <w:spacing w:before="0" w:after="20" w:line="240" w:lineRule="auto"/>
            </w:pPr>
            <w:r>
              <w:rPr>
                <w:rFonts w:ascii="Calibri" w:hAnsi="Calibri" w:eastAsia="Calibri" w:cs="Calibri"/>
                <w:b w:val="0"/>
                <w:i w:val="0"/>
                <w:color w:val="1F2937"/>
                <w:sz w:val="15"/>
              </w:rPr>
              <w:t>S.I. 2026/559; business.gov.uk; Acas</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A2</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Great Britain</w:t>
            </w:r>
          </w:p>
          <w:p>
            <w:pPr>
              <w:spacing w:before="0" w:after="20" w:line="240" w:lineRule="auto"/>
            </w:pPr>
            <w:r>
              <w:rPr>
                <w:rFonts w:ascii="Calibri" w:hAnsi="Calibri" w:eastAsia="Calibri" w:cs="Calibri"/>
                <w:b w:val="0"/>
                <w:i w:val="0"/>
                <w:color w:val="1F2937"/>
                <w:sz w:val="16"/>
              </w:rPr>
              <w:t>England, Scotland and Wales (not Northern Ireland)</w:t>
            </w:r>
          </w:p>
        </w:tc>
        <w:tc>
          <w:tcPr>
            <w:tcW w:type="dxa" w:w="2494"/>
          </w:tcPr>
          <w:p>
            <w:pPr>
              <w:spacing w:before="0" w:after="20" w:line="240" w:lineRule="auto"/>
            </w:pPr>
            <w:r>
              <w:rPr>
                <w:rFonts w:ascii="Calibri" w:hAnsi="Calibri" w:eastAsia="Calibri" w:cs="Calibri"/>
                <w:b/>
                <w:i w:val="0"/>
                <w:color w:val="1F2937"/>
                <w:sz w:val="16"/>
              </w:rPr>
              <w:t>Written reasons for dismissal; compensation and spent-conviction wording in the dismissal procedure</w:t>
            </w:r>
          </w:p>
          <w:p>
            <w:pPr>
              <w:spacing w:before="0" w:after="20" w:line="240" w:lineRule="auto"/>
            </w:pPr>
            <w:r>
              <w:rPr>
                <w:rFonts w:ascii="Calibri" w:hAnsi="Calibri" w:eastAsia="Calibri" w:cs="Calibri"/>
                <w:b w:val="0"/>
                <w:i w:val="0"/>
                <w:color w:val="555F6B"/>
                <w:sz w:val="15"/>
              </w:rPr>
              <w:t>Documents: Disciplinary and grievance procedure; Employee handbook</w:t>
            </w:r>
          </w:p>
        </w:tc>
        <w:tc>
          <w:tcPr>
            <w:tcW w:type="dxa" w:w="1361"/>
          </w:tcPr>
          <w:p>
            <w:pPr>
              <w:spacing w:before="0" w:after="20" w:line="240" w:lineRule="auto"/>
            </w:pPr>
            <w:r>
              <w:rPr>
                <w:rFonts w:ascii="Calibri" w:hAnsi="Calibri" w:eastAsia="Calibri" w:cs="Calibri"/>
                <w:b w:val="0"/>
                <w:i w:val="0"/>
                <w:color w:val="1F2937"/>
                <w:sz w:val="16"/>
              </w:rPr>
              <w:t>Jan 1,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In England, Scotland and Wales, the qualifying period for an employee's right to request written reasons for dismissal also falls from 2 years to 6 months, and the qualifying period for protection against unfair dismissal on grounds relating to spent convictions is removed. Section 25(3) of the Act omits section 124 of the 1996 Act, the limit on the compensatory award. Regulation 4(1) of S.I. 2026/559 says the amendments made by section 25(2) and (3) have effect where the effective date of termination falls on or after January 1, 2027, and do not have effect where it falls before that date.</w:t>
            </w:r>
          </w:p>
        </w:tc>
        <w:tc>
          <w:tcPr>
            <w:tcW w:type="dxa" w:w="1587"/>
          </w:tcPr>
          <w:p>
            <w:pPr>
              <w:spacing w:before="0" w:after="20" w:line="240" w:lineRule="auto"/>
            </w:pPr>
            <w:r>
              <w:rPr>
                <w:rFonts w:ascii="Calibri" w:hAnsi="Calibri" w:eastAsia="Calibri" w:cs="Calibri"/>
                <w:b w:val="0"/>
                <w:i w:val="0"/>
                <w:color w:val="1F2937"/>
                <w:sz w:val="15"/>
              </w:rPr>
              <w:t>business.gov.uk; ERA 2025 s.25; S.I. 2026/559</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A3</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Washington</w:t>
            </w:r>
          </w:p>
        </w:tc>
        <w:tc>
          <w:tcPr>
            <w:tcW w:type="dxa" w:w="2494"/>
          </w:tcPr>
          <w:p>
            <w:pPr>
              <w:spacing w:before="0" w:after="20" w:line="240" w:lineRule="auto"/>
            </w:pPr>
            <w:r>
              <w:rPr>
                <w:rFonts w:ascii="Calibri" w:hAnsi="Calibri" w:eastAsia="Calibri" w:cs="Calibri"/>
                <w:b/>
                <w:i w:val="0"/>
                <w:color w:val="1F2937"/>
                <w:sz w:val="16"/>
              </w:rPr>
              <w:t>Noncompete and nonsolicitation clauses</w:t>
            </w:r>
          </w:p>
          <w:p>
            <w:pPr>
              <w:spacing w:before="0" w:after="20" w:line="240" w:lineRule="auto"/>
            </w:pPr>
            <w:r>
              <w:rPr>
                <w:rFonts w:ascii="Calibri" w:hAnsi="Calibri" w:eastAsia="Calibri" w:cs="Calibri"/>
                <w:b w:val="0"/>
                <w:i w:val="0"/>
                <w:color w:val="555F6B"/>
                <w:sz w:val="15"/>
              </w:rPr>
              <w:t>Documents: Restrictive covenant agreement; Employment contract template</w:t>
            </w:r>
          </w:p>
        </w:tc>
        <w:tc>
          <w:tcPr>
            <w:tcW w:type="dxa" w:w="1361"/>
          </w:tcPr>
          <w:p>
            <w:pPr>
              <w:spacing w:before="0" w:after="20" w:line="240" w:lineRule="auto"/>
            </w:pPr>
            <w:r>
              <w:rPr>
                <w:rFonts w:ascii="Calibri" w:hAnsi="Calibri" w:eastAsia="Calibri" w:cs="Calibri"/>
                <w:b w:val="0"/>
                <w:i w:val="0"/>
                <w:color w:val="1F2937"/>
                <w:sz w:val="16"/>
              </w:rPr>
              <w:t>Jun 30, 2027; written notice by Oct 1,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Under ESHB 1155 (Chapter 149, Laws of 2026), noncompetition covenants are void and unenforceable regardless of when they were entered into. The act's definition leaves out a nonsolicitation agreement that stays within its limits (for customers, a direct relationship with the employee and a ban that ends within 18 months of termination) and a covenant for buying or selling the goodwill of a business when the signer holds an ownership interest of one percent or more. By October 1, 2027 an employer must make reasonable efforts to give written notice to current and former employees (and contractors) whose covenants are still in their effective period.</w:t>
            </w:r>
          </w:p>
        </w:tc>
        <w:tc>
          <w:tcPr>
            <w:tcW w:type="dxa" w:w="1587"/>
          </w:tcPr>
          <w:p>
            <w:pPr>
              <w:spacing w:before="0" w:after="20" w:line="240" w:lineRule="auto"/>
            </w:pPr>
            <w:r>
              <w:rPr>
                <w:rFonts w:ascii="Calibri" w:hAnsi="Calibri" w:eastAsia="Calibri" w:cs="Calibri"/>
                <w:b w:val="0"/>
                <w:i w:val="0"/>
                <w:color w:val="1F2937"/>
                <w:sz w:val="15"/>
              </w:rPr>
              <w:t>WA ESHB 1155</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A4</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Washington</w:t>
            </w:r>
          </w:p>
        </w:tc>
        <w:tc>
          <w:tcPr>
            <w:tcW w:type="dxa" w:w="2494"/>
          </w:tcPr>
          <w:p>
            <w:pPr>
              <w:spacing w:before="0" w:after="20" w:line="240" w:lineRule="auto"/>
            </w:pPr>
            <w:r>
              <w:rPr>
                <w:rFonts w:ascii="Calibri" w:hAnsi="Calibri" w:eastAsia="Calibri" w:cs="Calibri"/>
                <w:b/>
                <w:i w:val="0"/>
                <w:color w:val="1F2937"/>
                <w:sz w:val="16"/>
              </w:rPr>
              <w:t>Salary stated for overtime-exempt roles</w:t>
            </w:r>
          </w:p>
          <w:p>
            <w:pPr>
              <w:spacing w:before="0" w:after="20" w:line="240" w:lineRule="auto"/>
            </w:pPr>
            <w:r>
              <w:rPr>
                <w:rFonts w:ascii="Calibri" w:hAnsi="Calibri" w:eastAsia="Calibri" w:cs="Calibri"/>
                <w:b w:val="0"/>
                <w:i w:val="0"/>
                <w:color w:val="555F6B"/>
                <w:sz w:val="15"/>
              </w:rPr>
              <w:t>Documents: Offer or appointment letter; Payroll and pay policy</w:t>
            </w:r>
          </w:p>
        </w:tc>
        <w:tc>
          <w:tcPr>
            <w:tcW w:type="dxa" w:w="1361"/>
          </w:tcPr>
          <w:p>
            <w:pPr>
              <w:spacing w:before="0" w:after="20" w:line="240" w:lineRule="auto"/>
            </w:pPr>
            <w:r>
              <w:rPr>
                <w:rFonts w:ascii="Calibri" w:hAnsi="Calibri" w:eastAsia="Calibri" w:cs="Calibri"/>
                <w:b w:val="0"/>
                <w:i w:val="0"/>
                <w:color w:val="1F2937"/>
                <w:sz w:val="16"/>
              </w:rPr>
              <w:t>Jan 1,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L&amp;I says overtime-exempt salaried workers must be paid at least $1,595.70 a week at employers with 1 to 50 employees (2.25 times the state minimum wage) and $1,773 a week at 51 or more (2.5 times). The 2027 minimum wage is $17.73 an hour.</w:t>
            </w:r>
          </w:p>
        </w:tc>
        <w:tc>
          <w:tcPr>
            <w:tcW w:type="dxa" w:w="1587"/>
          </w:tcPr>
          <w:p>
            <w:pPr>
              <w:spacing w:before="0" w:after="20" w:line="240" w:lineRule="auto"/>
            </w:pPr>
            <w:r>
              <w:rPr>
                <w:rFonts w:ascii="Calibri" w:hAnsi="Calibri" w:eastAsia="Calibri" w:cs="Calibri"/>
                <w:b w:val="0"/>
                <w:i w:val="0"/>
                <w:color w:val="1F2937"/>
                <w:sz w:val="15"/>
              </w:rPr>
              <w:t>WA L&amp;I</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A5</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Connecticut</w:t>
            </w:r>
          </w:p>
        </w:tc>
        <w:tc>
          <w:tcPr>
            <w:tcW w:type="dxa" w:w="2494"/>
          </w:tcPr>
          <w:p>
            <w:pPr>
              <w:spacing w:before="0" w:after="20" w:line="240" w:lineRule="auto"/>
            </w:pPr>
            <w:r>
              <w:rPr>
                <w:rFonts w:ascii="Calibri" w:hAnsi="Calibri" w:eastAsia="Calibri" w:cs="Calibri"/>
                <w:b/>
                <w:i w:val="0"/>
                <w:color w:val="1F2937"/>
                <w:sz w:val="16"/>
              </w:rPr>
              <w:t>Paid sick leave policy</w:t>
            </w:r>
          </w:p>
          <w:p>
            <w:pPr>
              <w:spacing w:before="0" w:after="20" w:line="240" w:lineRule="auto"/>
            </w:pPr>
            <w:r>
              <w:rPr>
                <w:rFonts w:ascii="Calibri" w:hAnsi="Calibri" w:eastAsia="Calibri" w:cs="Calibri"/>
                <w:b w:val="0"/>
                <w:i w:val="0"/>
                <w:color w:val="555F6B"/>
                <w:sz w:val="15"/>
              </w:rPr>
              <w:t>Documents: Employee handbook; Leave policy</w:t>
            </w:r>
          </w:p>
        </w:tc>
        <w:tc>
          <w:tcPr>
            <w:tcW w:type="dxa" w:w="1361"/>
          </w:tcPr>
          <w:p>
            <w:pPr>
              <w:spacing w:before="0" w:after="20" w:line="240" w:lineRule="auto"/>
            </w:pPr>
            <w:r>
              <w:rPr>
                <w:rFonts w:ascii="Calibri" w:hAnsi="Calibri" w:eastAsia="Calibri" w:cs="Calibri"/>
                <w:b w:val="0"/>
                <w:i w:val="0"/>
                <w:color w:val="1F2937"/>
                <w:sz w:val="16"/>
              </w:rPr>
              <w:t>Jan 1,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Paid sick leave covers employers with 1 or more employees in Connecticut from January 1, 2027, up from 11 or more in 2026. Employees accrue 1 hour for every 30 hours worked, up to 40 hours a year.</w:t>
            </w:r>
          </w:p>
        </w:tc>
        <w:tc>
          <w:tcPr>
            <w:tcW w:type="dxa" w:w="1587"/>
          </w:tcPr>
          <w:p>
            <w:pPr>
              <w:spacing w:before="0" w:after="20" w:line="240" w:lineRule="auto"/>
            </w:pPr>
            <w:r>
              <w:rPr>
                <w:rFonts w:ascii="Calibri" w:hAnsi="Calibri" w:eastAsia="Calibri" w:cs="Calibri"/>
                <w:b w:val="0"/>
                <w:i w:val="0"/>
                <w:color w:val="1F2937"/>
                <w:sz w:val="15"/>
              </w:rPr>
              <w:t>CT DOL FAQ</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A6</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Maryland</w:t>
            </w:r>
          </w:p>
        </w:tc>
        <w:tc>
          <w:tcPr>
            <w:tcW w:type="dxa" w:w="2494"/>
          </w:tcPr>
          <w:p>
            <w:pPr>
              <w:spacing w:before="0" w:after="20" w:line="240" w:lineRule="auto"/>
            </w:pPr>
            <w:r>
              <w:rPr>
                <w:rFonts w:ascii="Calibri" w:hAnsi="Calibri" w:eastAsia="Calibri" w:cs="Calibri"/>
                <w:b/>
                <w:i w:val="0"/>
                <w:color w:val="1F2937"/>
                <w:sz w:val="16"/>
              </w:rPr>
              <w:t>FAMLI payroll deduction and employee notice wording</w:t>
            </w:r>
          </w:p>
          <w:p>
            <w:pPr>
              <w:spacing w:before="0" w:after="20" w:line="240" w:lineRule="auto"/>
            </w:pPr>
            <w:r>
              <w:rPr>
                <w:rFonts w:ascii="Calibri" w:hAnsi="Calibri" w:eastAsia="Calibri" w:cs="Calibri"/>
                <w:b w:val="0"/>
                <w:i w:val="0"/>
                <w:color w:val="555F6B"/>
                <w:sz w:val="15"/>
              </w:rPr>
              <w:t>Documents: Employee handbook; Payroll and pay policy; Leave policy</w:t>
            </w:r>
          </w:p>
        </w:tc>
        <w:tc>
          <w:tcPr>
            <w:tcW w:type="dxa" w:w="1361"/>
          </w:tcPr>
          <w:p>
            <w:pPr>
              <w:spacing w:before="0" w:after="20" w:line="240" w:lineRule="auto"/>
            </w:pPr>
            <w:r>
              <w:rPr>
                <w:rFonts w:ascii="Calibri" w:hAnsi="Calibri" w:eastAsia="Calibri" w:cs="Calibri"/>
                <w:b w:val="0"/>
                <w:i w:val="0"/>
                <w:color w:val="1F2937"/>
                <w:sz w:val="16"/>
              </w:rPr>
              <w:t>Jan 2027; first payment Apr 30, 2027; employee notice from Jul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Maryland sets the initial FAMLI rate at 0.9% of wages up to the Social Security wage cap, split 0.45% each, and says employers collect employee contributions through payroll deductions starting in January 2027. Employers with fewer than 15 employees remit 50%. The first payment, for wages paid January 1 to March 31, 2027, is due April 30, 2027. The employer page says employee notice starts in July 2027.</w:t>
            </w:r>
          </w:p>
        </w:tc>
        <w:tc>
          <w:tcPr>
            <w:tcW w:type="dxa" w:w="1587"/>
          </w:tcPr>
          <w:p>
            <w:pPr>
              <w:spacing w:before="0" w:after="20" w:line="240" w:lineRule="auto"/>
            </w:pPr>
            <w:r>
              <w:rPr>
                <w:rFonts w:ascii="Calibri" w:hAnsi="Calibri" w:eastAsia="Calibri" w:cs="Calibri"/>
                <w:b w:val="0"/>
                <w:i w:val="0"/>
                <w:color w:val="1F2937"/>
                <w:sz w:val="15"/>
              </w:rPr>
              <w:t>MD FAMLI contributions; MD FAMLI employers</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A7</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California</w:t>
            </w:r>
          </w:p>
        </w:tc>
        <w:tc>
          <w:tcPr>
            <w:tcW w:type="dxa" w:w="2494"/>
          </w:tcPr>
          <w:p>
            <w:pPr>
              <w:spacing w:before="0" w:after="20" w:line="240" w:lineRule="auto"/>
            </w:pPr>
            <w:r>
              <w:rPr>
                <w:rFonts w:ascii="Calibri" w:hAnsi="Calibri" w:eastAsia="Calibri" w:cs="Calibri"/>
                <w:b/>
                <w:i w:val="0"/>
                <w:color w:val="1F2937"/>
                <w:sz w:val="16"/>
              </w:rPr>
              <w:t>Annual Workplace Know Your Rights notice</w:t>
            </w:r>
          </w:p>
          <w:p>
            <w:pPr>
              <w:spacing w:before="0" w:after="20" w:line="240" w:lineRule="auto"/>
            </w:pPr>
            <w:r>
              <w:rPr>
                <w:rFonts w:ascii="Calibri" w:hAnsi="Calibri" w:eastAsia="Calibri" w:cs="Calibri"/>
                <w:b w:val="0"/>
                <w:i w:val="0"/>
                <w:color w:val="555F6B"/>
                <w:sz w:val="15"/>
              </w:rPr>
              <w:t>Documents: Employee handbook</w:t>
            </w:r>
          </w:p>
        </w:tc>
        <w:tc>
          <w:tcPr>
            <w:tcW w:type="dxa" w:w="1361"/>
          </w:tcPr>
          <w:p>
            <w:pPr>
              <w:spacing w:before="0" w:after="20" w:line="240" w:lineRule="auto"/>
            </w:pPr>
            <w:r>
              <w:rPr>
                <w:rFonts w:ascii="Calibri" w:hAnsi="Calibri" w:eastAsia="Calibri" w:cs="Calibri"/>
                <w:b w:val="0"/>
                <w:i w:val="0"/>
                <w:color w:val="1F2937"/>
                <w:sz w:val="16"/>
              </w:rPr>
              <w:t>By Feb 1 each year (Feb 1, 2027 is a Monday)</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Under Labor Code sections 1550 to 1559, employers must give workers a yearly written notice by February 1, covering retaliation protection, workers' compensation, immigration-related practices, union and group activity, emergency contacts and law enforcement interactions.</w:t>
            </w:r>
          </w:p>
        </w:tc>
        <w:tc>
          <w:tcPr>
            <w:tcW w:type="dxa" w:w="1587"/>
          </w:tcPr>
          <w:p>
            <w:pPr>
              <w:spacing w:before="0" w:after="20" w:line="240" w:lineRule="auto"/>
            </w:pPr>
            <w:r>
              <w:rPr>
                <w:rFonts w:ascii="Calibri" w:hAnsi="Calibri" w:eastAsia="Calibri" w:cs="Calibri"/>
                <w:b w:val="0"/>
                <w:i w:val="0"/>
                <w:color w:val="1F2937"/>
                <w:sz w:val="15"/>
              </w:rPr>
              <w:t>CA DIR 2026-14</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A8</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California</w:t>
            </w:r>
          </w:p>
        </w:tc>
        <w:tc>
          <w:tcPr>
            <w:tcW w:type="dxa" w:w="2494"/>
          </w:tcPr>
          <w:p>
            <w:pPr>
              <w:spacing w:before="0" w:after="20" w:line="240" w:lineRule="auto"/>
            </w:pPr>
            <w:r>
              <w:rPr>
                <w:rFonts w:ascii="Calibri" w:hAnsi="Calibri" w:eastAsia="Calibri" w:cs="Calibri"/>
                <w:b/>
                <w:i w:val="0"/>
                <w:color w:val="1F2937"/>
                <w:sz w:val="16"/>
              </w:rPr>
              <w:t>Automated decision-making technology (ADMT) wording</w:t>
            </w:r>
          </w:p>
          <w:p>
            <w:pPr>
              <w:spacing w:before="0" w:after="20" w:line="240" w:lineRule="auto"/>
            </w:pPr>
            <w:r>
              <w:rPr>
                <w:rFonts w:ascii="Calibri" w:hAnsi="Calibri" w:eastAsia="Calibri" w:cs="Calibri"/>
                <w:b w:val="0"/>
                <w:i w:val="0"/>
                <w:color w:val="555F6B"/>
                <w:sz w:val="15"/>
              </w:rPr>
              <w:t>Documents: AI, hiring and HR technology policy; Privacy notice (employees and candidates)</w:t>
            </w:r>
          </w:p>
        </w:tc>
        <w:tc>
          <w:tcPr>
            <w:tcW w:type="dxa" w:w="1361"/>
          </w:tcPr>
          <w:p>
            <w:pPr>
              <w:spacing w:before="0" w:after="20" w:line="240" w:lineRule="auto"/>
            </w:pPr>
            <w:r>
              <w:rPr>
                <w:rFonts w:ascii="Calibri" w:hAnsi="Calibri" w:eastAsia="Calibri" w:cs="Calibri"/>
                <w:b w:val="0"/>
                <w:i w:val="0"/>
                <w:color w:val="1F2937"/>
                <w:sz w:val="16"/>
              </w:rPr>
              <w:t>Jan 1,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The CPPA says businesses that use ADMT to make significant decisions must comply beginning January 1, 2027. The regulation text counts hiring, allocation of work and compensation, promotion, demotion, suspension and termination as significant decisions in employment, and refers to a pre-use notice.</w:t>
            </w:r>
          </w:p>
        </w:tc>
        <w:tc>
          <w:tcPr>
            <w:tcW w:type="dxa" w:w="1587"/>
          </w:tcPr>
          <w:p>
            <w:pPr>
              <w:spacing w:before="0" w:after="20" w:line="240" w:lineRule="auto"/>
            </w:pPr>
            <w:r>
              <w:rPr>
                <w:rFonts w:ascii="Calibri" w:hAnsi="Calibri" w:eastAsia="Calibri" w:cs="Calibri"/>
                <w:b w:val="0"/>
                <w:i w:val="0"/>
                <w:color w:val="1F2937"/>
                <w:sz w:val="15"/>
              </w:rPr>
              <w:t>CPPA announcement; CPPA regulation text</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A9</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Colorado</w:t>
            </w:r>
          </w:p>
        </w:tc>
        <w:tc>
          <w:tcPr>
            <w:tcW w:type="dxa" w:w="2494"/>
          </w:tcPr>
          <w:p>
            <w:pPr>
              <w:spacing w:before="0" w:after="20" w:line="240" w:lineRule="auto"/>
            </w:pPr>
            <w:r>
              <w:rPr>
                <w:rFonts w:ascii="Calibri" w:hAnsi="Calibri" w:eastAsia="Calibri" w:cs="Calibri"/>
                <w:b/>
                <w:i w:val="0"/>
                <w:color w:val="1F2937"/>
                <w:sz w:val="16"/>
              </w:rPr>
              <w:t>Automated decision-making wording (SB 26-189)</w:t>
            </w:r>
          </w:p>
          <w:p>
            <w:pPr>
              <w:spacing w:before="0" w:after="20" w:line="240" w:lineRule="auto"/>
            </w:pPr>
            <w:r>
              <w:rPr>
                <w:rFonts w:ascii="Calibri" w:hAnsi="Calibri" w:eastAsia="Calibri" w:cs="Calibri"/>
                <w:b w:val="0"/>
                <w:i w:val="0"/>
                <w:color w:val="555F6B"/>
                <w:sz w:val="15"/>
              </w:rPr>
              <w:t>Documents: AI, hiring and HR technology policy; Privacy notice (employees and candidates)</w:t>
            </w:r>
          </w:p>
        </w:tc>
        <w:tc>
          <w:tcPr>
            <w:tcW w:type="dxa" w:w="1361"/>
          </w:tcPr>
          <w:p>
            <w:pPr>
              <w:spacing w:before="0" w:after="20" w:line="240" w:lineRule="auto"/>
            </w:pPr>
            <w:r>
              <w:rPr>
                <w:rFonts w:ascii="Calibri" w:hAnsi="Calibri" w:eastAsia="Calibri" w:cs="Calibri"/>
                <w:b w:val="0"/>
                <w:i w:val="0"/>
                <w:color w:val="1F2937"/>
                <w:sz w:val="16"/>
              </w:rPr>
              <w:t>Jan 1,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The General Assembly's bill page lists a Signed Act dated May 14, 2026 with the status Became Law, and the act takes effect January 1, 2027. The signed act defines one covered domain as "employment or an employment opportunity". The Attorney General's page, modified October 27, 2026, says a formal rulemaking hearing took place on October 26, 2026 and posts no adopted or final rules as of October 28, 2026.</w:t>
            </w:r>
          </w:p>
        </w:tc>
        <w:tc>
          <w:tcPr>
            <w:tcW w:type="dxa" w:w="1587"/>
          </w:tcPr>
          <w:p>
            <w:pPr>
              <w:spacing w:before="0" w:after="20" w:line="240" w:lineRule="auto"/>
            </w:pPr>
            <w:r>
              <w:rPr>
                <w:rFonts w:ascii="Calibri" w:hAnsi="Calibri" w:eastAsia="Calibri" w:cs="Calibri"/>
                <w:b w:val="0"/>
                <w:i w:val="0"/>
                <w:color w:val="1F2937"/>
                <w:sz w:val="15"/>
              </w:rPr>
              <w:t>Colorado SB26-189 Signed Act; Colorado SB26-189 bill page; Colorado AG</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A10</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Delaware</w:t>
            </w:r>
          </w:p>
        </w:tc>
        <w:tc>
          <w:tcPr>
            <w:tcW w:type="dxa" w:w="2494"/>
          </w:tcPr>
          <w:p>
            <w:pPr>
              <w:spacing w:before="0" w:after="20" w:line="240" w:lineRule="auto"/>
            </w:pPr>
            <w:r>
              <w:rPr>
                <w:rFonts w:ascii="Calibri" w:hAnsi="Calibri" w:eastAsia="Calibri" w:cs="Calibri"/>
                <w:b/>
                <w:i w:val="0"/>
                <w:color w:val="1F2937"/>
                <w:sz w:val="16"/>
              </w:rPr>
              <w:t>Pay range and benefits description in postings</w:t>
            </w:r>
          </w:p>
          <w:p>
            <w:pPr>
              <w:spacing w:before="0" w:after="20" w:line="240" w:lineRule="auto"/>
            </w:pPr>
            <w:r>
              <w:rPr>
                <w:rFonts w:ascii="Calibri" w:hAnsi="Calibri" w:eastAsia="Calibri" w:cs="Calibri"/>
                <w:b w:val="0"/>
                <w:i w:val="0"/>
                <w:color w:val="555F6B"/>
                <w:sz w:val="15"/>
              </w:rPr>
              <w:t>Documents: Job posting template</w:t>
            </w:r>
          </w:p>
        </w:tc>
        <w:tc>
          <w:tcPr>
            <w:tcW w:type="dxa" w:w="1361"/>
          </w:tcPr>
          <w:p>
            <w:pPr>
              <w:spacing w:before="0" w:after="20" w:line="240" w:lineRule="auto"/>
            </w:pPr>
            <w:r>
              <w:rPr>
                <w:rFonts w:ascii="Calibri" w:hAnsi="Calibri" w:eastAsia="Calibri" w:cs="Calibri"/>
                <w:b w:val="0"/>
                <w:i w:val="0"/>
                <w:color w:val="1F2937"/>
                <w:sz w:val="16"/>
              </w:rPr>
              <w:t>Sep 26,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House Substitute 2 for House Bill 105, signed September 26, 2025, requires postings to include salary or wage range information and a general description of benefits. It takes effect 2 years after enactment and does not apply to employers with 25 or fewer employees.</w:t>
            </w:r>
          </w:p>
        </w:tc>
        <w:tc>
          <w:tcPr>
            <w:tcW w:type="dxa" w:w="1587"/>
          </w:tcPr>
          <w:p>
            <w:pPr>
              <w:spacing w:before="0" w:after="20" w:line="240" w:lineRule="auto"/>
            </w:pPr>
            <w:r>
              <w:rPr>
                <w:rFonts w:ascii="Calibri" w:hAnsi="Calibri" w:eastAsia="Calibri" w:cs="Calibri"/>
                <w:b w:val="0"/>
                <w:i w:val="0"/>
                <w:color w:val="1F2937"/>
                <w:sz w:val="15"/>
              </w:rPr>
              <w:t>Delaware HB 105</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A11</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Washington</w:t>
            </w:r>
          </w:p>
        </w:tc>
        <w:tc>
          <w:tcPr>
            <w:tcW w:type="dxa" w:w="2494"/>
          </w:tcPr>
          <w:p>
            <w:pPr>
              <w:spacing w:before="0" w:after="20" w:line="240" w:lineRule="auto"/>
            </w:pPr>
            <w:r>
              <w:rPr>
                <w:rFonts w:ascii="Calibri" w:hAnsi="Calibri" w:eastAsia="Calibri" w:cs="Calibri"/>
                <w:b/>
                <w:i w:val="0"/>
                <w:color w:val="1F2937"/>
                <w:sz w:val="16"/>
              </w:rPr>
              <w:t>Pay range posting: correction window ends</w:t>
            </w:r>
          </w:p>
          <w:p>
            <w:pPr>
              <w:spacing w:before="0" w:after="20" w:line="240" w:lineRule="auto"/>
            </w:pPr>
            <w:r>
              <w:rPr>
                <w:rFonts w:ascii="Calibri" w:hAnsi="Calibri" w:eastAsia="Calibri" w:cs="Calibri"/>
                <w:b w:val="0"/>
                <w:i w:val="0"/>
                <w:color w:val="555F6B"/>
                <w:sz w:val="15"/>
              </w:rPr>
              <w:t>Documents: Job posting template</w:t>
            </w:r>
          </w:p>
        </w:tc>
        <w:tc>
          <w:tcPr>
            <w:tcW w:type="dxa" w:w="1361"/>
          </w:tcPr>
          <w:p>
            <w:pPr>
              <w:spacing w:before="0" w:after="20" w:line="240" w:lineRule="auto"/>
            </w:pPr>
            <w:r>
              <w:rPr>
                <w:rFonts w:ascii="Calibri" w:hAnsi="Calibri" w:eastAsia="Calibri" w:cs="Calibri"/>
                <w:b w:val="0"/>
                <w:i w:val="0"/>
                <w:color w:val="1F2937"/>
                <w:sz w:val="16"/>
              </w:rPr>
              <w:t>Jul 27, 2027</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For postings from July 27, 2025 through July 27, 2027, an employer must be given a chance to correct a violation, and a fix within 5 business days of written notice avoids penalties. The correction provision does not apply after July 27, 2027. The section applies to employers with 15 or more employees.</w:t>
            </w:r>
          </w:p>
        </w:tc>
        <w:tc>
          <w:tcPr>
            <w:tcW w:type="dxa" w:w="1587"/>
          </w:tcPr>
          <w:p>
            <w:pPr>
              <w:spacing w:before="0" w:after="20" w:line="240" w:lineRule="auto"/>
            </w:pPr>
            <w:r>
              <w:rPr>
                <w:rFonts w:ascii="Calibri" w:hAnsi="Calibri" w:eastAsia="Calibri" w:cs="Calibri"/>
                <w:b w:val="0"/>
                <w:i w:val="0"/>
                <w:color w:val="1F2937"/>
                <w:sz w:val="15"/>
              </w:rPr>
              <w:t>RCW 49.58.110</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A12</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Massachusetts</w:t>
            </w:r>
          </w:p>
        </w:tc>
        <w:tc>
          <w:tcPr>
            <w:tcW w:type="dxa" w:w="2494"/>
          </w:tcPr>
          <w:p>
            <w:pPr>
              <w:spacing w:before="0" w:after="20" w:line="240" w:lineRule="auto"/>
            </w:pPr>
            <w:r>
              <w:rPr>
                <w:rFonts w:ascii="Calibri" w:hAnsi="Calibri" w:eastAsia="Calibri" w:cs="Calibri"/>
                <w:b/>
                <w:i w:val="0"/>
                <w:color w:val="1F2937"/>
                <w:sz w:val="16"/>
              </w:rPr>
              <w:t>Pay range posting: cure period ends</w:t>
            </w:r>
          </w:p>
          <w:p>
            <w:pPr>
              <w:spacing w:before="0" w:after="20" w:line="240" w:lineRule="auto"/>
            </w:pPr>
            <w:r>
              <w:rPr>
                <w:rFonts w:ascii="Calibri" w:hAnsi="Calibri" w:eastAsia="Calibri" w:cs="Calibri"/>
                <w:b w:val="0"/>
                <w:i w:val="0"/>
                <w:color w:val="555F6B"/>
                <w:sz w:val="15"/>
              </w:rPr>
              <w:t>Documents: Job posting template</w:t>
            </w:r>
          </w:p>
        </w:tc>
        <w:tc>
          <w:tcPr>
            <w:tcW w:type="dxa" w:w="1361"/>
          </w:tcPr>
          <w:p>
            <w:pPr>
              <w:spacing w:before="0" w:after="20" w:line="240" w:lineRule="auto"/>
            </w:pPr>
            <w:r>
              <w:rPr>
                <w:rFonts w:ascii="Calibri" w:hAnsi="Calibri" w:eastAsia="Calibri" w:cs="Calibri"/>
                <w:b w:val="0"/>
                <w:i w:val="0"/>
                <w:color w:val="1F2937"/>
                <w:sz w:val="16"/>
              </w:rPr>
              <w:t>Oct 29, 2027</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The law covers employers with 25 or more employees. Until October 29, 2027, covered employers have 2 business days to cure defects after receiving a Notice to Cure letter.</w:t>
            </w:r>
          </w:p>
        </w:tc>
        <w:tc>
          <w:tcPr>
            <w:tcW w:type="dxa" w:w="1587"/>
          </w:tcPr>
          <w:p>
            <w:pPr>
              <w:spacing w:before="0" w:after="20" w:line="240" w:lineRule="auto"/>
            </w:pPr>
            <w:r>
              <w:rPr>
                <w:rFonts w:ascii="Calibri" w:hAnsi="Calibri" w:eastAsia="Calibri" w:cs="Calibri"/>
                <w:b w:val="0"/>
                <w:i w:val="0"/>
                <w:color w:val="1F2937"/>
                <w:sz w:val="15"/>
              </w:rPr>
              <w:t>Mass.gov</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A13</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European Union</w:t>
            </w:r>
          </w:p>
        </w:tc>
        <w:tc>
          <w:tcPr>
            <w:tcW w:type="dxa" w:w="2494"/>
          </w:tcPr>
          <w:p>
            <w:pPr>
              <w:spacing w:before="0" w:after="20" w:line="240" w:lineRule="auto"/>
            </w:pPr>
            <w:r>
              <w:rPr>
                <w:rFonts w:ascii="Calibri" w:hAnsi="Calibri" w:eastAsia="Calibri" w:cs="Calibri"/>
                <w:b/>
                <w:i w:val="0"/>
                <w:color w:val="1F2937"/>
                <w:sz w:val="16"/>
              </w:rPr>
              <w:t>Clauses that restrict disclosing pay</w:t>
            </w:r>
          </w:p>
          <w:p>
            <w:pPr>
              <w:spacing w:before="0" w:after="20" w:line="240" w:lineRule="auto"/>
            </w:pPr>
            <w:r>
              <w:rPr>
                <w:rFonts w:ascii="Calibri" w:hAnsi="Calibri" w:eastAsia="Calibri" w:cs="Calibri"/>
                <w:b w:val="0"/>
                <w:i w:val="0"/>
                <w:color w:val="555F6B"/>
                <w:sz w:val="15"/>
              </w:rPr>
              <w:t>Documents: Employment contract template</w:t>
            </w:r>
          </w:p>
        </w:tc>
        <w:tc>
          <w:tcPr>
            <w:tcW w:type="dxa" w:w="1361"/>
          </w:tcPr>
          <w:p>
            <w:pPr>
              <w:spacing w:before="0" w:after="20" w:line="240" w:lineRule="auto"/>
            </w:pPr>
            <w:r>
              <w:rPr>
                <w:rFonts w:ascii="Calibri" w:hAnsi="Calibri" w:eastAsia="Calibri" w:cs="Calibri"/>
                <w:b w:val="0"/>
                <w:i w:val="0"/>
                <w:color w:val="1F2937"/>
                <w:sz w:val="16"/>
              </w:rPr>
              <w:t>Directive deadline Jun 7, 2026; national dates vary</w:t>
            </w:r>
          </w:p>
        </w:tc>
        <w:tc>
          <w:tcPr>
            <w:tcW w:type="dxa" w:w="1247"/>
            <w:shd w:val="clear" w:color="auto" w:fill="E4ECF7"/>
          </w:tcPr>
          <w:p>
            <w:pPr>
              <w:spacing w:before="0" w:after="20" w:line="240" w:lineRule="auto"/>
            </w:pPr>
            <w:r>
              <w:rPr>
                <w:rFonts w:ascii="Calibri" w:hAnsi="Calibri" w:eastAsia="Calibri" w:cs="Calibri"/>
                <w:b/>
                <w:i w:val="0"/>
                <w:color w:val="1F2937"/>
                <w:sz w:val="16"/>
              </w:rPr>
              <w:t>In force, varies by country</w:t>
            </w:r>
          </w:p>
        </w:tc>
        <w:tc>
          <w:tcPr>
            <w:tcW w:type="dxa" w:w="4535"/>
          </w:tcPr>
          <w:p>
            <w:pPr>
              <w:spacing w:before="0" w:after="20" w:line="240" w:lineRule="auto"/>
            </w:pPr>
            <w:r>
              <w:rPr>
                <w:rFonts w:ascii="Calibri" w:hAnsi="Calibri" w:eastAsia="Calibri" w:cs="Calibri"/>
                <w:b w:val="0"/>
                <w:i w:val="0"/>
                <w:color w:val="1F2937"/>
                <w:sz w:val="16"/>
              </w:rPr>
              <w:t>Article 7(5) of Directive (EU) 2023/970 says workers shall not be prevented from disclosing their pay to enforce equal pay, and that Member States shall put in place measures to prohibit contract terms that restrict workers from disclosing information about their pay. Member States had until June 7, 2026 to bring in national law. Read the national text for each country.</w:t>
            </w:r>
          </w:p>
        </w:tc>
        <w:tc>
          <w:tcPr>
            <w:tcW w:type="dxa" w:w="1587"/>
          </w:tcPr>
          <w:p>
            <w:pPr>
              <w:spacing w:before="0" w:after="20" w:line="240" w:lineRule="auto"/>
            </w:pPr>
            <w:r>
              <w:rPr>
                <w:rFonts w:ascii="Calibri" w:hAnsi="Calibri" w:eastAsia="Calibri" w:cs="Calibri"/>
                <w:b w:val="0"/>
                <w:i w:val="0"/>
                <w:color w:val="1F2937"/>
                <w:sz w:val="15"/>
              </w:rPr>
              <w:t>EU Directive 2023/970</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A14</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European Union</w:t>
            </w:r>
          </w:p>
        </w:tc>
        <w:tc>
          <w:tcPr>
            <w:tcW w:type="dxa" w:w="2494"/>
          </w:tcPr>
          <w:p>
            <w:pPr>
              <w:spacing w:before="0" w:after="20" w:line="240" w:lineRule="auto"/>
            </w:pPr>
            <w:r>
              <w:rPr>
                <w:rFonts w:ascii="Calibri" w:hAnsi="Calibri" w:eastAsia="Calibri" w:cs="Calibri"/>
                <w:b/>
                <w:i w:val="0"/>
                <w:color w:val="1F2937"/>
                <w:sz w:val="16"/>
              </w:rPr>
              <w:t>Use of high-risk AI systems in employment</w:t>
            </w:r>
          </w:p>
          <w:p>
            <w:pPr>
              <w:spacing w:before="0" w:after="20" w:line="240" w:lineRule="auto"/>
            </w:pPr>
            <w:r>
              <w:rPr>
                <w:rFonts w:ascii="Calibri" w:hAnsi="Calibri" w:eastAsia="Calibri" w:cs="Calibri"/>
                <w:b w:val="0"/>
                <w:i w:val="0"/>
                <w:color w:val="555F6B"/>
                <w:sz w:val="15"/>
              </w:rPr>
              <w:t>Documents: AI, hiring and HR technology policy; Employee handbook</w:t>
            </w:r>
          </w:p>
        </w:tc>
        <w:tc>
          <w:tcPr>
            <w:tcW w:type="dxa" w:w="1361"/>
          </w:tcPr>
          <w:p>
            <w:pPr>
              <w:spacing w:before="0" w:after="20" w:line="240" w:lineRule="auto"/>
            </w:pPr>
            <w:r>
              <w:rPr>
                <w:rFonts w:ascii="Calibri" w:hAnsi="Calibri" w:eastAsia="Calibri" w:cs="Calibri"/>
                <w:b w:val="0"/>
                <w:i w:val="0"/>
                <w:color w:val="1F2937"/>
                <w:sz w:val="16"/>
              </w:rPr>
              <w:t>Dec 2,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Article 113 of the AI Act, in the consolidated version as at July 27, 2026 (the Service Desk marks the text as amended by the Digital Omnibus on AI), applies the obligations for high-risk systems under Article 6(2) and Annex III from December 2, 2027. Annex III point 4 covers systems used for recruitment or selection, decisions on terms of work, promotion or termination, task allocation and performance monitoring. Article 26(7) says deployers who are employers inform workers' representatives and the affected workers before use.</w:t>
            </w:r>
          </w:p>
        </w:tc>
        <w:tc>
          <w:tcPr>
            <w:tcW w:type="dxa" w:w="1587"/>
          </w:tcPr>
          <w:p>
            <w:pPr>
              <w:spacing w:before="0" w:after="20" w:line="240" w:lineRule="auto"/>
            </w:pPr>
            <w:r>
              <w:rPr>
                <w:rFonts w:ascii="Calibri" w:hAnsi="Calibri" w:eastAsia="Calibri" w:cs="Calibri"/>
                <w:b w:val="0"/>
                <w:i w:val="0"/>
                <w:color w:val="1F2937"/>
                <w:sz w:val="15"/>
              </w:rPr>
              <w:t>AI Act Art. 113; AI Act Annex III; AI Act Art. 26</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A15</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Canada (federal)</w:t>
            </w:r>
          </w:p>
        </w:tc>
        <w:tc>
          <w:tcPr>
            <w:tcW w:type="dxa" w:w="2494"/>
          </w:tcPr>
          <w:p>
            <w:pPr>
              <w:spacing w:before="0" w:after="20" w:line="240" w:lineRule="auto"/>
            </w:pPr>
            <w:r>
              <w:rPr>
                <w:rFonts w:ascii="Calibri" w:hAnsi="Calibri" w:eastAsia="Calibri" w:cs="Calibri"/>
                <w:b/>
                <w:i w:val="0"/>
                <w:color w:val="1F2937"/>
                <w:sz w:val="16"/>
              </w:rPr>
              <w:t>Wage rates that differ by employment status</w:t>
            </w:r>
          </w:p>
          <w:p>
            <w:pPr>
              <w:spacing w:before="0" w:after="20" w:line="240" w:lineRule="auto"/>
            </w:pPr>
            <w:r>
              <w:rPr>
                <w:rFonts w:ascii="Calibri" w:hAnsi="Calibri" w:eastAsia="Calibri" w:cs="Calibri"/>
                <w:b w:val="0"/>
                <w:i w:val="0"/>
                <w:color w:val="555F6B"/>
                <w:sz w:val="15"/>
              </w:rPr>
              <w:t>Documents: Employment contract template; Payroll and pay policy</w:t>
            </w:r>
          </w:p>
        </w:tc>
        <w:tc>
          <w:tcPr>
            <w:tcW w:type="dxa" w:w="1361"/>
          </w:tcPr>
          <w:p>
            <w:pPr>
              <w:spacing w:before="0" w:after="20" w:line="240" w:lineRule="auto"/>
            </w:pPr>
            <w:r>
              <w:rPr>
                <w:rFonts w:ascii="Calibri" w:hAnsi="Calibri" w:eastAsia="Calibri" w:cs="Calibri"/>
                <w:b w:val="0"/>
                <w:i w:val="0"/>
                <w:color w:val="1F2937"/>
                <w:sz w:val="16"/>
              </w:rPr>
              <w:t>Oct 20, 2026 (180th day after Apr 23, 2026, counted)</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SI/2026-18 fixes the 180th day after the order was made (April 23, 2026) as the coming-into-force day for several provisions of the Budget Implementation Act, 2018, No. 2. The Regulatory Impact Analysis Statement says the Canada Labour Code will prohibit employers from paying different wage rates because of a difference in employment status (full-time, part-time, permanent or temporary). The comparison is between employees in the same industrial establishment (worksites in the same Employment Insurance region count as one) under similar working conditions and doing work that needs substantially the same skill, effort and responsibility. A system based on seniority, merit, the quantity or quality of production, or other prescribed criteria is an exception. Where an existing collective agreement permits such differences, its rules prevail for a subsequent two-year period. Part III covers federal Crown corporations and federally regulated private-sector industries and does not apply to the federal public service.</w:t>
            </w:r>
          </w:p>
        </w:tc>
        <w:tc>
          <w:tcPr>
            <w:tcW w:type="dxa" w:w="1587"/>
          </w:tcPr>
          <w:p>
            <w:pPr>
              <w:spacing w:before="0" w:after="20" w:line="240" w:lineRule="auto"/>
            </w:pPr>
            <w:r>
              <w:rPr>
                <w:rFonts w:ascii="Calibri" w:hAnsi="Calibri" w:eastAsia="Calibri" w:cs="Calibri"/>
                <w:b w:val="0"/>
                <w:i w:val="0"/>
                <w:color w:val="1F2937"/>
                <w:sz w:val="15"/>
              </w:rPr>
              <w:t>SI/2026-18; SOR/2026-75</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A16</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Canada</w:t>
            </w:r>
          </w:p>
          <w:p>
            <w:pPr>
              <w:spacing w:before="0" w:after="20" w:line="240" w:lineRule="auto"/>
            </w:pPr>
            <w:r>
              <w:rPr>
                <w:rFonts w:ascii="Calibri" w:hAnsi="Calibri" w:eastAsia="Calibri" w:cs="Calibri"/>
                <w:b w:val="0"/>
                <w:i w:val="0"/>
                <w:color w:val="1F2937"/>
                <w:sz w:val="16"/>
              </w:rPr>
              <w:t>Ontario</w:t>
            </w:r>
          </w:p>
        </w:tc>
        <w:tc>
          <w:tcPr>
            <w:tcW w:type="dxa" w:w="2494"/>
          </w:tcPr>
          <w:p>
            <w:pPr>
              <w:spacing w:before="0" w:after="20" w:line="240" w:lineRule="auto"/>
            </w:pPr>
            <w:r>
              <w:rPr>
                <w:rFonts w:ascii="Calibri" w:hAnsi="Calibri" w:eastAsia="Calibri" w:cs="Calibri"/>
                <w:b/>
                <w:i w:val="0"/>
                <w:color w:val="1F2937"/>
                <w:sz w:val="16"/>
              </w:rPr>
              <w:t>Compensation, AI use and vacancy statements in postings</w:t>
            </w:r>
          </w:p>
          <w:p>
            <w:pPr>
              <w:spacing w:before="0" w:after="20" w:line="240" w:lineRule="auto"/>
            </w:pPr>
            <w:r>
              <w:rPr>
                <w:rFonts w:ascii="Calibri" w:hAnsi="Calibri" w:eastAsia="Calibri" w:cs="Calibri"/>
                <w:b w:val="0"/>
                <w:i w:val="0"/>
                <w:color w:val="555F6B"/>
                <w:sz w:val="15"/>
              </w:rPr>
              <w:t>Documents: Job posting template</w:t>
            </w:r>
          </w:p>
        </w:tc>
        <w:tc>
          <w:tcPr>
            <w:tcW w:type="dxa" w:w="1361"/>
          </w:tcPr>
          <w:p>
            <w:pPr>
              <w:spacing w:before="0" w:after="20" w:line="240" w:lineRule="auto"/>
            </w:pPr>
            <w:r>
              <w:rPr>
                <w:rFonts w:ascii="Calibri" w:hAnsi="Calibri" w:eastAsia="Calibri" w:cs="Calibri"/>
                <w:b w:val="0"/>
                <w:i w:val="0"/>
                <w:color w:val="1F2937"/>
                <w:sz w:val="16"/>
              </w:rPr>
              <w:t>Jan 1, 2026</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Publicly advertised postings must state expected compensation (a range limited to $50,000 a year or less), disclose use of artificial intelligence to screen, assess or select applicants, state whether the posting is for an existing vacancy, and may not include a requirement for Canadian experience (professional licensing or registration requirements are excepted). The rules do not apply to employers with fewer than 25 employees, and the compensation requirement does not apply above $200,000 a year.</w:t>
            </w:r>
          </w:p>
        </w:tc>
        <w:tc>
          <w:tcPr>
            <w:tcW w:type="dxa" w:w="1587"/>
          </w:tcPr>
          <w:p>
            <w:pPr>
              <w:spacing w:before="0" w:after="20" w:line="240" w:lineRule="auto"/>
            </w:pPr>
            <w:r>
              <w:rPr>
                <w:rFonts w:ascii="Calibri" w:hAnsi="Calibri" w:eastAsia="Calibri" w:cs="Calibri"/>
                <w:b w:val="0"/>
                <w:i w:val="0"/>
                <w:color w:val="1F2937"/>
                <w:sz w:val="15"/>
              </w:rPr>
              <w:t>Ontario ESA guide</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A17</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Australia</w:t>
            </w:r>
          </w:p>
        </w:tc>
        <w:tc>
          <w:tcPr>
            <w:tcW w:type="dxa" w:w="2494"/>
          </w:tcPr>
          <w:p>
            <w:pPr>
              <w:spacing w:before="0" w:after="20" w:line="240" w:lineRule="auto"/>
            </w:pPr>
            <w:r>
              <w:rPr>
                <w:rFonts w:ascii="Calibri" w:hAnsi="Calibri" w:eastAsia="Calibri" w:cs="Calibri"/>
                <w:b/>
                <w:i w:val="0"/>
                <w:color w:val="1F2937"/>
                <w:sz w:val="16"/>
              </w:rPr>
              <w:t>Superannuation payment timing</w:t>
            </w:r>
          </w:p>
          <w:p>
            <w:pPr>
              <w:spacing w:before="0" w:after="20" w:line="240" w:lineRule="auto"/>
            </w:pPr>
            <w:r>
              <w:rPr>
                <w:rFonts w:ascii="Calibri" w:hAnsi="Calibri" w:eastAsia="Calibri" w:cs="Calibri"/>
                <w:b w:val="0"/>
                <w:i w:val="0"/>
                <w:color w:val="555F6B"/>
                <w:sz w:val="15"/>
              </w:rPr>
              <w:t>Documents: Employment contract template; Payroll and pay policy</w:t>
            </w:r>
          </w:p>
        </w:tc>
        <w:tc>
          <w:tcPr>
            <w:tcW w:type="dxa" w:w="1361"/>
          </w:tcPr>
          <w:p>
            <w:pPr>
              <w:spacing w:before="0" w:after="20" w:line="240" w:lineRule="auto"/>
            </w:pPr>
            <w:r>
              <w:rPr>
                <w:rFonts w:ascii="Calibri" w:hAnsi="Calibri" w:eastAsia="Calibri" w:cs="Calibri"/>
                <w:b w:val="0"/>
                <w:i w:val="0"/>
                <w:color w:val="1F2937"/>
                <w:sz w:val="16"/>
              </w:rPr>
              <w:t>Jul 1, 2026</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Under Payday Super, which the ATO dates from July 1, 2026, contributions are due in employees' super accounts within 7 business days after payday, unless a longer time applies, such as for new employees.</w:t>
            </w:r>
          </w:p>
        </w:tc>
        <w:tc>
          <w:tcPr>
            <w:tcW w:type="dxa" w:w="1587"/>
          </w:tcPr>
          <w:p>
            <w:pPr>
              <w:spacing w:before="0" w:after="20" w:line="240" w:lineRule="auto"/>
            </w:pPr>
            <w:r>
              <w:rPr>
                <w:rFonts w:ascii="Calibri" w:hAnsi="Calibri" w:eastAsia="Calibri" w:cs="Calibri"/>
                <w:b w:val="0"/>
                <w:i w:val="0"/>
                <w:color w:val="1F2937"/>
                <w:sz w:val="15"/>
              </w:rPr>
              <w:t>ATO changeover page; ATO Payday Super</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A18</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Australia</w:t>
            </w:r>
          </w:p>
        </w:tc>
        <w:tc>
          <w:tcPr>
            <w:tcW w:type="dxa" w:w="2494"/>
          </w:tcPr>
          <w:p>
            <w:pPr>
              <w:spacing w:before="0" w:after="20" w:line="240" w:lineRule="auto"/>
            </w:pPr>
            <w:r>
              <w:rPr>
                <w:rFonts w:ascii="Calibri" w:hAnsi="Calibri" w:eastAsia="Calibri" w:cs="Calibri"/>
                <w:b/>
                <w:i w:val="0"/>
                <w:color w:val="1F2937"/>
                <w:sz w:val="16"/>
              </w:rPr>
              <w:t>Award-linked pay rates and the National Minimum Wage</w:t>
            </w:r>
          </w:p>
          <w:p>
            <w:pPr>
              <w:spacing w:before="0" w:after="20" w:line="240" w:lineRule="auto"/>
            </w:pPr>
            <w:r>
              <w:rPr>
                <w:rFonts w:ascii="Calibri" w:hAnsi="Calibri" w:eastAsia="Calibri" w:cs="Calibri"/>
                <w:b w:val="0"/>
                <w:i w:val="0"/>
                <w:color w:val="555F6B"/>
                <w:sz w:val="15"/>
              </w:rPr>
              <w:t>Documents: Employment contract template; Payroll and pay policy</w:t>
            </w:r>
          </w:p>
        </w:tc>
        <w:tc>
          <w:tcPr>
            <w:tcW w:type="dxa" w:w="1361"/>
          </w:tcPr>
          <w:p>
            <w:pPr>
              <w:spacing w:before="0" w:after="20" w:line="240" w:lineRule="auto"/>
            </w:pPr>
            <w:r>
              <w:rPr>
                <w:rFonts w:ascii="Calibri" w:hAnsi="Calibri" w:eastAsia="Calibri" w:cs="Calibri"/>
                <w:b w:val="0"/>
                <w:i w:val="0"/>
                <w:color w:val="1F2937"/>
                <w:sz w:val="16"/>
              </w:rPr>
              <w:t>Jul 1, 2026</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The Fair Work Commission's 2026 decision lifts modern award wage rates by 4.75% from July 1, 2026 and sets the National Minimum Wage at $1,004.90 a week, or $26.44 an hour.</w:t>
            </w:r>
          </w:p>
        </w:tc>
        <w:tc>
          <w:tcPr>
            <w:tcW w:type="dxa" w:w="1587"/>
          </w:tcPr>
          <w:p>
            <w:pPr>
              <w:spacing w:before="0" w:after="20" w:line="240" w:lineRule="auto"/>
            </w:pPr>
            <w:r>
              <w:rPr>
                <w:rFonts w:ascii="Calibri" w:hAnsi="Calibri" w:eastAsia="Calibri" w:cs="Calibri"/>
                <w:b w:val="0"/>
                <w:i w:val="0"/>
                <w:color w:val="1F2937"/>
                <w:sz w:val="15"/>
              </w:rPr>
              <w:t>FWC decision</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A19</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Australia</w:t>
            </w:r>
          </w:p>
        </w:tc>
        <w:tc>
          <w:tcPr>
            <w:tcW w:type="dxa" w:w="2494"/>
          </w:tcPr>
          <w:p>
            <w:pPr>
              <w:spacing w:before="0" w:after="20" w:line="240" w:lineRule="auto"/>
            </w:pPr>
            <w:r>
              <w:rPr>
                <w:rFonts w:ascii="Calibri" w:hAnsi="Calibri" w:eastAsia="Calibri" w:cs="Calibri"/>
                <w:b/>
                <w:i w:val="0"/>
                <w:color w:val="1F2937"/>
                <w:sz w:val="16"/>
              </w:rPr>
              <w:t>Automated decision statements in the privacy policy</w:t>
            </w:r>
          </w:p>
          <w:p>
            <w:pPr>
              <w:spacing w:before="0" w:after="20" w:line="240" w:lineRule="auto"/>
            </w:pPr>
            <w:r>
              <w:rPr>
                <w:rFonts w:ascii="Calibri" w:hAnsi="Calibri" w:eastAsia="Calibri" w:cs="Calibri"/>
                <w:b w:val="0"/>
                <w:i w:val="0"/>
                <w:color w:val="555F6B"/>
                <w:sz w:val="15"/>
              </w:rPr>
              <w:t>Documents: Privacy notice (employees and candidates); AI, hiring and HR technology policy</w:t>
            </w:r>
          </w:p>
        </w:tc>
        <w:tc>
          <w:tcPr>
            <w:tcW w:type="dxa" w:w="1361"/>
          </w:tcPr>
          <w:p>
            <w:pPr>
              <w:spacing w:before="0" w:after="20" w:line="240" w:lineRule="auto"/>
            </w:pPr>
            <w:r>
              <w:rPr>
                <w:rFonts w:ascii="Calibri" w:hAnsi="Calibri" w:eastAsia="Calibri" w:cs="Calibri"/>
                <w:b w:val="0"/>
                <w:i w:val="0"/>
                <w:color w:val="1F2937"/>
                <w:sz w:val="16"/>
              </w:rPr>
              <w:t>Dec 10, 2026</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The OAIC fact sheet says the APP 1.7 to 1.9 changes take effect on December 10, 2026. A privacy policy must describe the kinds of personal information used by programs that make, or substantially and directly help make, decisions that could significantly affect an individual, and the kinds of decisions involved. The fact sheet lists recruitment software as an example and does not mention the employee records exemption.</w:t>
            </w:r>
          </w:p>
        </w:tc>
        <w:tc>
          <w:tcPr>
            <w:tcW w:type="dxa" w:w="1587"/>
          </w:tcPr>
          <w:p>
            <w:pPr>
              <w:spacing w:before="0" w:after="20" w:line="240" w:lineRule="auto"/>
            </w:pPr>
            <w:r>
              <w:rPr>
                <w:rFonts w:ascii="Calibri" w:hAnsi="Calibri" w:eastAsia="Calibri" w:cs="Calibri"/>
                <w:b w:val="0"/>
                <w:i w:val="0"/>
                <w:color w:val="1F2937"/>
                <w:sz w:val="15"/>
              </w:rPr>
              <w:t>OAIC fact sheet</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A20</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Germany</w:t>
            </w:r>
          </w:p>
        </w:tc>
        <w:tc>
          <w:tcPr>
            <w:tcW w:type="dxa" w:w="2494"/>
          </w:tcPr>
          <w:p>
            <w:pPr>
              <w:spacing w:before="0" w:after="20" w:line="240" w:lineRule="auto"/>
            </w:pPr>
            <w:r>
              <w:rPr>
                <w:rFonts w:ascii="Calibri" w:hAnsi="Calibri" w:eastAsia="Calibri" w:cs="Calibri"/>
                <w:b/>
                <w:i w:val="0"/>
                <w:color w:val="1F2937"/>
                <w:sz w:val="16"/>
              </w:rPr>
              <w:t>Hourly pay set at or near the statutory minimum</w:t>
            </w:r>
          </w:p>
          <w:p>
            <w:pPr>
              <w:spacing w:before="0" w:after="20" w:line="240" w:lineRule="auto"/>
            </w:pPr>
            <w:r>
              <w:rPr>
                <w:rFonts w:ascii="Calibri" w:hAnsi="Calibri" w:eastAsia="Calibri" w:cs="Calibri"/>
                <w:b w:val="0"/>
                <w:i w:val="0"/>
                <w:color w:val="555F6B"/>
                <w:sz w:val="15"/>
              </w:rPr>
              <w:t>Documents: Employment contract template; Payroll and pay policy</w:t>
            </w:r>
          </w:p>
        </w:tc>
        <w:tc>
          <w:tcPr>
            <w:tcW w:type="dxa" w:w="1361"/>
          </w:tcPr>
          <w:p>
            <w:pPr>
              <w:spacing w:before="0" w:after="20" w:line="240" w:lineRule="auto"/>
            </w:pPr>
            <w:r>
              <w:rPr>
                <w:rFonts w:ascii="Calibri" w:hAnsi="Calibri" w:eastAsia="Calibri" w:cs="Calibri"/>
                <w:b w:val="0"/>
                <w:i w:val="0"/>
                <w:color w:val="1F2937"/>
                <w:sz w:val="16"/>
              </w:rPr>
              <w:t>Jan 1,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The Fifth Minimum Wage Adjustment Ordinance (MiLoV5), issued November 5, 2025, sets the statutory minimum wage at 13.90 euros gross an hour from January 1, 2026 and 14.60 euros from January 1, 2027.</w:t>
            </w:r>
          </w:p>
        </w:tc>
        <w:tc>
          <w:tcPr>
            <w:tcW w:type="dxa" w:w="1587"/>
          </w:tcPr>
          <w:p>
            <w:pPr>
              <w:spacing w:before="0" w:after="20" w:line="240" w:lineRule="auto"/>
            </w:pPr>
            <w:r>
              <w:rPr>
                <w:rFonts w:ascii="Calibri" w:hAnsi="Calibri" w:eastAsia="Calibri" w:cs="Calibri"/>
                <w:b w:val="0"/>
                <w:i w:val="0"/>
                <w:color w:val="1F2937"/>
                <w:sz w:val="15"/>
              </w:rPr>
              <w:t>MiLoV5</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A21</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Germany</w:t>
            </w:r>
          </w:p>
        </w:tc>
        <w:tc>
          <w:tcPr>
            <w:tcW w:type="dxa" w:w="2494"/>
          </w:tcPr>
          <w:p>
            <w:pPr>
              <w:spacing w:before="0" w:after="20" w:line="240" w:lineRule="auto"/>
            </w:pPr>
            <w:r>
              <w:rPr>
                <w:rFonts w:ascii="Calibri" w:hAnsi="Calibri" w:eastAsia="Calibri" w:cs="Calibri"/>
                <w:b/>
                <w:i w:val="0"/>
                <w:color w:val="1F2937"/>
                <w:sz w:val="16"/>
              </w:rPr>
              <w:t>Monthly earnings limit for mini-jobs</w:t>
            </w:r>
          </w:p>
          <w:p>
            <w:pPr>
              <w:spacing w:before="0" w:after="20" w:line="240" w:lineRule="auto"/>
            </w:pPr>
            <w:r>
              <w:rPr>
                <w:rFonts w:ascii="Calibri" w:hAnsi="Calibri" w:eastAsia="Calibri" w:cs="Calibri"/>
                <w:b w:val="0"/>
                <w:i w:val="0"/>
                <w:color w:val="555F6B"/>
                <w:sz w:val="15"/>
              </w:rPr>
              <w:t>Documents: Employment contract template</w:t>
            </w:r>
          </w:p>
        </w:tc>
        <w:tc>
          <w:tcPr>
            <w:tcW w:type="dxa" w:w="1361"/>
          </w:tcPr>
          <w:p>
            <w:pPr>
              <w:spacing w:before="0" w:after="20" w:line="240" w:lineRule="auto"/>
            </w:pPr>
            <w:r>
              <w:rPr>
                <w:rFonts w:ascii="Calibri" w:hAnsi="Calibri" w:eastAsia="Calibri" w:cs="Calibri"/>
                <w:b w:val="0"/>
                <w:i w:val="0"/>
                <w:color w:val="1F2937"/>
                <w:sz w:val="16"/>
              </w:rPr>
              <w:t>Jan 1, 2027</w:t>
            </w:r>
          </w:p>
        </w:tc>
        <w:tc>
          <w:tcPr>
            <w:tcW w:type="dxa" w:w="1247"/>
            <w:shd w:val="clear" w:color="auto" w:fill="FFF4D6"/>
          </w:tcPr>
          <w:p>
            <w:pPr>
              <w:spacing w:before="0" w:after="20" w:line="240" w:lineRule="auto"/>
            </w:pPr>
            <w:r>
              <w:rPr>
                <w:rFonts w:ascii="Calibri" w:hAnsi="Calibri" w:eastAsia="Calibri" w:cs="Calibri"/>
                <w:b/>
                <w:i w:val="0"/>
                <w:color w:val="1F2937"/>
                <w:sz w:val="16"/>
              </w:rPr>
              <w:t>Enacted, date set</w:t>
            </w:r>
          </w:p>
        </w:tc>
        <w:tc>
          <w:tcPr>
            <w:tcW w:type="dxa" w:w="4535"/>
          </w:tcPr>
          <w:p>
            <w:pPr>
              <w:spacing w:before="0" w:after="20" w:line="240" w:lineRule="auto"/>
            </w:pPr>
            <w:r>
              <w:rPr>
                <w:rFonts w:ascii="Calibri" w:hAnsi="Calibri" w:eastAsia="Calibri" w:cs="Calibri"/>
                <w:b w:val="0"/>
                <w:i w:val="0"/>
                <w:color w:val="1F2937"/>
                <w:sz w:val="16"/>
              </w:rPr>
              <w:t>BMAS's notice in the Bundesanzeiger (BAnz AT 20.11.2025 B1, dated November 7, 2025 and published November 20, 2025) states the monthly earnings limit for mini-jobs as 633 euros from January 1, 2027, up from 603 euros from January 1, 2026. Section 8(1a) of Book IV of the Social Code defines the limit as the minimum wage times 130, divided by three, rounded up to a full euro. At 14.60 euros that is 632.67, which rounds up to 633 euros.</w:t>
            </w:r>
          </w:p>
        </w:tc>
        <w:tc>
          <w:tcPr>
            <w:tcW w:type="dxa" w:w="1587"/>
          </w:tcPr>
          <w:p>
            <w:pPr>
              <w:spacing w:before="0" w:after="20" w:line="240" w:lineRule="auto"/>
            </w:pPr>
            <w:r>
              <w:rPr>
                <w:rFonts w:ascii="Calibri" w:hAnsi="Calibri" w:eastAsia="Calibri" w:cs="Calibri"/>
                <w:b w:val="0"/>
                <w:i w:val="0"/>
                <w:color w:val="1F2937"/>
                <w:sz w:val="15"/>
              </w:rPr>
              <w:t>BMAS notice; SGB IV section 8; MiLoV5</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A22</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Singapore</w:t>
            </w:r>
          </w:p>
        </w:tc>
        <w:tc>
          <w:tcPr>
            <w:tcW w:type="dxa" w:w="2494"/>
          </w:tcPr>
          <w:p>
            <w:pPr>
              <w:spacing w:before="0" w:after="20" w:line="240" w:lineRule="auto"/>
            </w:pPr>
            <w:r>
              <w:rPr>
                <w:rFonts w:ascii="Calibri" w:hAnsi="Calibri" w:eastAsia="Calibri" w:cs="Calibri"/>
                <w:b/>
                <w:i w:val="0"/>
                <w:color w:val="1F2937"/>
                <w:sz w:val="16"/>
              </w:rPr>
              <w:t>Retirement age and re-employment age</w:t>
            </w:r>
          </w:p>
          <w:p>
            <w:pPr>
              <w:spacing w:before="0" w:after="20" w:line="240" w:lineRule="auto"/>
            </w:pPr>
            <w:r>
              <w:rPr>
                <w:rFonts w:ascii="Calibri" w:hAnsi="Calibri" w:eastAsia="Calibri" w:cs="Calibri"/>
                <w:b w:val="0"/>
                <w:i w:val="0"/>
                <w:color w:val="555F6B"/>
                <w:sz w:val="15"/>
              </w:rPr>
              <w:t>Documents: Employment contract template; Employee handbook</w:t>
            </w:r>
          </w:p>
        </w:tc>
        <w:tc>
          <w:tcPr>
            <w:tcW w:type="dxa" w:w="1361"/>
          </w:tcPr>
          <w:p>
            <w:pPr>
              <w:spacing w:before="0" w:after="20" w:line="240" w:lineRule="auto"/>
            </w:pPr>
            <w:r>
              <w:rPr>
                <w:rFonts w:ascii="Calibri" w:hAnsi="Calibri" w:eastAsia="Calibri" w:cs="Calibri"/>
                <w:b w:val="0"/>
                <w:i w:val="0"/>
                <w:color w:val="1F2937"/>
                <w:sz w:val="16"/>
              </w:rPr>
              <w:t>Jul 1, 2026</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MOM says the re-employment age was raised from 68 to 69 on July 1, 2026, and the minimum retirement age is 64 for employees born on or after July 1, 1963, with lower ages for earlier birth dates. Employers must offer re-employment to eligible employees.</w:t>
            </w:r>
          </w:p>
        </w:tc>
        <w:tc>
          <w:tcPr>
            <w:tcW w:type="dxa" w:w="1587"/>
          </w:tcPr>
          <w:p>
            <w:pPr>
              <w:spacing w:before="0" w:after="20" w:line="240" w:lineRule="auto"/>
            </w:pPr>
            <w:r>
              <w:rPr>
                <w:rFonts w:ascii="Calibri" w:hAnsi="Calibri" w:eastAsia="Calibri" w:cs="Calibri"/>
                <w:b w:val="0"/>
                <w:i w:val="0"/>
                <w:color w:val="1F2937"/>
                <w:sz w:val="15"/>
              </w:rPr>
              <w:t>MOM re-employment</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A23</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UAE</w:t>
            </w:r>
          </w:p>
        </w:tc>
        <w:tc>
          <w:tcPr>
            <w:tcW w:type="dxa" w:w="2494"/>
          </w:tcPr>
          <w:p>
            <w:pPr>
              <w:spacing w:before="0" w:after="20" w:line="240" w:lineRule="auto"/>
            </w:pPr>
            <w:r>
              <w:rPr>
                <w:rFonts w:ascii="Calibri" w:hAnsi="Calibri" w:eastAsia="Calibri" w:cs="Calibri"/>
                <w:b/>
                <w:i w:val="0"/>
                <w:color w:val="1F2937"/>
                <w:sz w:val="16"/>
              </w:rPr>
              <w:t>Salary of Emirati employees in the private sector</w:t>
            </w:r>
          </w:p>
          <w:p>
            <w:pPr>
              <w:spacing w:before="0" w:after="20" w:line="240" w:lineRule="auto"/>
            </w:pPr>
            <w:r>
              <w:rPr>
                <w:rFonts w:ascii="Calibri" w:hAnsi="Calibri" w:eastAsia="Calibri" w:cs="Calibri"/>
                <w:b w:val="0"/>
                <w:i w:val="0"/>
                <w:color w:val="555F6B"/>
                <w:sz w:val="15"/>
              </w:rPr>
              <w:t>Documents: Employment contract template; Payroll and pay policy</w:t>
            </w:r>
          </w:p>
        </w:tc>
        <w:tc>
          <w:tcPr>
            <w:tcW w:type="dxa" w:w="1361"/>
          </w:tcPr>
          <w:p>
            <w:pPr>
              <w:spacing w:before="0" w:after="20" w:line="240" w:lineRule="auto"/>
            </w:pPr>
            <w:r>
              <w:rPr>
                <w:rFonts w:ascii="Calibri" w:hAnsi="Calibri" w:eastAsia="Calibri" w:cs="Calibri"/>
                <w:b w:val="0"/>
                <w:i w:val="0"/>
                <w:color w:val="1F2937"/>
                <w:sz w:val="16"/>
              </w:rPr>
              <w:t>Jan 1, 2026; adjust by Jun 30, 2026</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MoHRE set the minimum monthly wage for Emiratis in the private sector at AED 6,000 for new, renewed or amended work permits from January 1, 2026, and said all Emiratis in the private sector must be paid at least that by June 30, 2026. The u.ae page repeats the AED 6,000 figure.</w:t>
            </w:r>
          </w:p>
        </w:tc>
        <w:tc>
          <w:tcPr>
            <w:tcW w:type="dxa" w:w="1587"/>
          </w:tcPr>
          <w:p>
            <w:pPr>
              <w:spacing w:before="0" w:after="20" w:line="240" w:lineRule="auto"/>
            </w:pPr>
            <w:r>
              <w:rPr>
                <w:rFonts w:ascii="Calibri" w:hAnsi="Calibri" w:eastAsia="Calibri" w:cs="Calibri"/>
                <w:b w:val="0"/>
                <w:i w:val="0"/>
                <w:color w:val="1F2937"/>
                <w:sz w:val="15"/>
              </w:rPr>
              <w:t>MoHRE news; u.ae Emirati employment</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A24</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UAE</w:t>
            </w:r>
          </w:p>
        </w:tc>
        <w:tc>
          <w:tcPr>
            <w:tcW w:type="dxa" w:w="2494"/>
          </w:tcPr>
          <w:p>
            <w:pPr>
              <w:spacing w:before="0" w:after="20" w:line="240" w:lineRule="auto"/>
            </w:pPr>
            <w:r>
              <w:rPr>
                <w:rFonts w:ascii="Calibri" w:hAnsi="Calibri" w:eastAsia="Calibri" w:cs="Calibri"/>
                <w:b/>
                <w:i w:val="0"/>
                <w:color w:val="1F2937"/>
                <w:sz w:val="16"/>
              </w:rPr>
              <w:t>Midday break for outdoor work</w:t>
            </w:r>
          </w:p>
          <w:p>
            <w:pPr>
              <w:spacing w:before="0" w:after="20" w:line="240" w:lineRule="auto"/>
            </w:pPr>
            <w:r>
              <w:rPr>
                <w:rFonts w:ascii="Calibri" w:hAnsi="Calibri" w:eastAsia="Calibri" w:cs="Calibri"/>
                <w:b w:val="0"/>
                <w:i w:val="0"/>
                <w:color w:val="555F6B"/>
                <w:sz w:val="15"/>
              </w:rPr>
              <w:t>Documents: Employee handbook</w:t>
            </w:r>
          </w:p>
        </w:tc>
        <w:tc>
          <w:tcPr>
            <w:tcW w:type="dxa" w:w="1361"/>
          </w:tcPr>
          <w:p>
            <w:pPr>
              <w:spacing w:before="0" w:after="20" w:line="240" w:lineRule="auto"/>
            </w:pPr>
            <w:r>
              <w:rPr>
                <w:rFonts w:ascii="Calibri" w:hAnsi="Calibri" w:eastAsia="Calibri" w:cs="Calibri"/>
                <w:b w:val="0"/>
                <w:i w:val="0"/>
                <w:color w:val="1F2937"/>
                <w:sz w:val="16"/>
              </w:rPr>
              <w:t>Jun 15 to Sep 15 each year (next start Jun 15, 2027)</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The u.ae working hours page says all work performed directly under the sun and in open places is not allowed between 12.30 pm and 3 pm from June 15 to September 15 every year. It cites Ministerial Resolution No. 44 of 2022.</w:t>
            </w:r>
          </w:p>
        </w:tc>
        <w:tc>
          <w:tcPr>
            <w:tcW w:type="dxa" w:w="1587"/>
          </w:tcPr>
          <w:p>
            <w:pPr>
              <w:spacing w:before="0" w:after="20" w:line="240" w:lineRule="auto"/>
            </w:pPr>
            <w:r>
              <w:rPr>
                <w:rFonts w:ascii="Calibri" w:hAnsi="Calibri" w:eastAsia="Calibri" w:cs="Calibri"/>
                <w:b w:val="0"/>
                <w:i w:val="0"/>
                <w:color w:val="1F2937"/>
                <w:sz w:val="15"/>
              </w:rPr>
              <w:t>u.ae working hours</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A25</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India</w:t>
            </w:r>
          </w:p>
        </w:tc>
        <w:tc>
          <w:tcPr>
            <w:tcW w:type="dxa" w:w="2494"/>
          </w:tcPr>
          <w:p>
            <w:pPr>
              <w:spacing w:before="0" w:after="20" w:line="240" w:lineRule="auto"/>
            </w:pPr>
            <w:r>
              <w:rPr>
                <w:rFonts w:ascii="Calibri" w:hAnsi="Calibri" w:eastAsia="Calibri" w:cs="Calibri"/>
                <w:b/>
                <w:i w:val="0"/>
                <w:color w:val="1F2937"/>
                <w:sz w:val="16"/>
              </w:rPr>
              <w:t>Wages definition and the 50 percent test in pay structures</w:t>
            </w:r>
          </w:p>
          <w:p>
            <w:pPr>
              <w:spacing w:before="0" w:after="20" w:line="240" w:lineRule="auto"/>
            </w:pPr>
            <w:r>
              <w:rPr>
                <w:rFonts w:ascii="Calibri" w:hAnsi="Calibri" w:eastAsia="Calibri" w:cs="Calibri"/>
                <w:b w:val="0"/>
                <w:i w:val="0"/>
                <w:color w:val="555F6B"/>
                <w:sz w:val="15"/>
              </w:rPr>
              <w:t>Documents: Employment contract template; Payroll and pay policy</w:t>
            </w:r>
          </w:p>
        </w:tc>
        <w:tc>
          <w:tcPr>
            <w:tcW w:type="dxa" w:w="1361"/>
          </w:tcPr>
          <w:p>
            <w:pPr>
              <w:spacing w:before="0" w:after="20" w:line="240" w:lineRule="auto"/>
            </w:pPr>
            <w:r>
              <w:rPr>
                <w:rFonts w:ascii="Calibri" w:hAnsi="Calibri" w:eastAsia="Calibri" w:cs="Calibri"/>
                <w:b w:val="0"/>
                <w:i w:val="0"/>
                <w:color w:val="1F2937"/>
                <w:sz w:val="16"/>
              </w:rPr>
              <w:t>In effect since Nov 21, 2025</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The Labour Ministry FAQ (as on March 16, 2026) says the definition of wages has been in effect from November 21, 2025, and that overtime allowance forms part of the 50 percent calculation. The Ministry's Handbook says that if items (a) to (i) exceed 50% of total pay (or another percentage notified by the Central Government), the excess counts as wages. The Handbook covers establishments where the Central Government is the appropriate government.</w:t>
            </w:r>
          </w:p>
        </w:tc>
        <w:tc>
          <w:tcPr>
            <w:tcW w:type="dxa" w:w="1587"/>
          </w:tcPr>
          <w:p>
            <w:pPr>
              <w:spacing w:before="0" w:after="20" w:line="240" w:lineRule="auto"/>
            </w:pPr>
            <w:r>
              <w:rPr>
                <w:rFonts w:ascii="Calibri" w:hAnsi="Calibri" w:eastAsia="Calibri" w:cs="Calibri"/>
                <w:b w:val="0"/>
                <w:i w:val="0"/>
                <w:color w:val="1F2937"/>
                <w:sz w:val="15"/>
              </w:rPr>
              <w:t>Labour Ministry FAQ; Labour Ministry Handbook</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A26</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India</w:t>
            </w:r>
          </w:p>
        </w:tc>
        <w:tc>
          <w:tcPr>
            <w:tcW w:type="dxa" w:w="2494"/>
          </w:tcPr>
          <w:p>
            <w:pPr>
              <w:spacing w:before="0" w:after="20" w:line="240" w:lineRule="auto"/>
            </w:pPr>
            <w:r>
              <w:rPr>
                <w:rFonts w:ascii="Calibri" w:hAnsi="Calibri" w:eastAsia="Calibri" w:cs="Calibri"/>
                <w:b/>
                <w:i w:val="0"/>
                <w:color w:val="1F2937"/>
                <w:sz w:val="16"/>
              </w:rPr>
              <w:t>Gratuity for fixed-term employees</w:t>
            </w:r>
          </w:p>
          <w:p>
            <w:pPr>
              <w:spacing w:before="0" w:after="20" w:line="240" w:lineRule="auto"/>
            </w:pPr>
            <w:r>
              <w:rPr>
                <w:rFonts w:ascii="Calibri" w:hAnsi="Calibri" w:eastAsia="Calibri" w:cs="Calibri"/>
                <w:b w:val="0"/>
                <w:i w:val="0"/>
                <w:color w:val="555F6B"/>
                <w:sz w:val="15"/>
              </w:rPr>
              <w:t>Documents: Employment contract template; Employee handbook</w:t>
            </w:r>
          </w:p>
        </w:tc>
        <w:tc>
          <w:tcPr>
            <w:tcW w:type="dxa" w:w="1361"/>
          </w:tcPr>
          <w:p>
            <w:pPr>
              <w:spacing w:before="0" w:after="20" w:line="240" w:lineRule="auto"/>
            </w:pPr>
            <w:r>
              <w:rPr>
                <w:rFonts w:ascii="Calibri" w:hAnsi="Calibri" w:eastAsia="Calibri" w:cs="Calibri"/>
                <w:b w:val="0"/>
                <w:i w:val="0"/>
                <w:color w:val="1F2937"/>
                <w:sz w:val="16"/>
              </w:rPr>
              <w:t>In effect since Nov 21, 2025</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PIB's November 21, 2025 release says fixed-term employees become eligible for gratuity after one year of continuous service. The Ministry FAQ says gratuity calculation applies from November 21, 2025, and the Handbook says gratuity is payable within 30 days from the date it becomes payable.</w:t>
            </w:r>
          </w:p>
        </w:tc>
        <w:tc>
          <w:tcPr>
            <w:tcW w:type="dxa" w:w="1587"/>
          </w:tcPr>
          <w:p>
            <w:pPr>
              <w:spacing w:before="0" w:after="20" w:line="240" w:lineRule="auto"/>
            </w:pPr>
            <w:r>
              <w:rPr>
                <w:rFonts w:ascii="Calibri" w:hAnsi="Calibri" w:eastAsia="Calibri" w:cs="Calibri"/>
                <w:b w:val="0"/>
                <w:i w:val="0"/>
                <w:color w:val="1F2937"/>
                <w:sz w:val="15"/>
              </w:rPr>
              <w:t>PIB Nov 2025; Labour Ministry FAQ; Labour Ministry Handbook</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A27</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India</w:t>
            </w:r>
          </w:p>
        </w:tc>
        <w:tc>
          <w:tcPr>
            <w:tcW w:type="dxa" w:w="2494"/>
          </w:tcPr>
          <w:p>
            <w:pPr>
              <w:spacing w:before="0" w:after="20" w:line="240" w:lineRule="auto"/>
            </w:pPr>
            <w:r>
              <w:rPr>
                <w:rFonts w:ascii="Calibri" w:hAnsi="Calibri" w:eastAsia="Calibri" w:cs="Calibri"/>
                <w:b/>
                <w:i w:val="0"/>
                <w:color w:val="1F2937"/>
                <w:sz w:val="16"/>
              </w:rPr>
              <w:t>Appointment letter for every worker</w:t>
            </w:r>
          </w:p>
          <w:p>
            <w:pPr>
              <w:spacing w:before="0" w:after="20" w:line="240" w:lineRule="auto"/>
            </w:pPr>
            <w:r>
              <w:rPr>
                <w:rFonts w:ascii="Calibri" w:hAnsi="Calibri" w:eastAsia="Calibri" w:cs="Calibri"/>
                <w:b w:val="0"/>
                <w:i w:val="0"/>
                <w:color w:val="555F6B"/>
                <w:sz w:val="15"/>
              </w:rPr>
              <w:t>Documents: Offer or appointment letter</w:t>
            </w:r>
          </w:p>
        </w:tc>
        <w:tc>
          <w:tcPr>
            <w:tcW w:type="dxa" w:w="1361"/>
          </w:tcPr>
          <w:p>
            <w:pPr>
              <w:spacing w:before="0" w:after="20" w:line="240" w:lineRule="auto"/>
            </w:pPr>
            <w:r>
              <w:rPr>
                <w:rFonts w:ascii="Calibri" w:hAnsi="Calibri" w:eastAsia="Calibri" w:cs="Calibri"/>
                <w:b w:val="0"/>
                <w:i w:val="0"/>
                <w:color w:val="1F2937"/>
                <w:sz w:val="16"/>
              </w:rPr>
              <w:t>In effect since Nov 21, 2025</w:t>
            </w:r>
          </w:p>
        </w:tc>
        <w:tc>
          <w:tcPr>
            <w:tcW w:type="dxa" w:w="1247"/>
            <w:shd w:val="clear" w:color="auto" w:fill="E3F1E6"/>
          </w:tcPr>
          <w:p>
            <w:pPr>
              <w:spacing w:before="0" w:after="20" w:line="240" w:lineRule="auto"/>
            </w:pPr>
            <w:r>
              <w:rPr>
                <w:rFonts w:ascii="Calibri" w:hAnsi="Calibri" w:eastAsia="Calibri" w:cs="Calibri"/>
                <w:b/>
                <w:i w:val="0"/>
                <w:color w:val="1F2937"/>
                <w:sz w:val="16"/>
              </w:rPr>
              <w:t>In force</w:t>
            </w:r>
          </w:p>
        </w:tc>
        <w:tc>
          <w:tcPr>
            <w:tcW w:type="dxa" w:w="4535"/>
          </w:tcPr>
          <w:p>
            <w:pPr>
              <w:spacing w:before="0" w:after="20" w:line="240" w:lineRule="auto"/>
            </w:pPr>
            <w:r>
              <w:rPr>
                <w:rFonts w:ascii="Calibri" w:hAnsi="Calibri" w:eastAsia="Calibri" w:cs="Calibri"/>
                <w:b w:val="0"/>
                <w:i w:val="0"/>
                <w:color w:val="1F2937"/>
                <w:sz w:val="16"/>
              </w:rPr>
              <w:t>PIB's November 21, 2025 release lists mandatory appointment letters to all workers among the changes. Its February 5, 2026 release says the Labour Codes have come into effect from November 21, 2025 and lists issuance of appointment letters to all employees among their important provisions.</w:t>
            </w:r>
          </w:p>
        </w:tc>
        <w:tc>
          <w:tcPr>
            <w:tcW w:type="dxa" w:w="1587"/>
          </w:tcPr>
          <w:p>
            <w:pPr>
              <w:spacing w:before="0" w:after="20" w:line="240" w:lineRule="auto"/>
            </w:pPr>
            <w:r>
              <w:rPr>
                <w:rFonts w:ascii="Calibri" w:hAnsi="Calibri" w:eastAsia="Calibri" w:cs="Calibri"/>
                <w:b w:val="0"/>
                <w:i w:val="0"/>
                <w:color w:val="1F2937"/>
                <w:sz w:val="15"/>
              </w:rPr>
              <w:t>PIB Nov 2025; PIB Feb 2026</w:t>
            </w:r>
          </w:p>
        </w:tc>
        <w:tc>
          <w:tcPr>
            <w:tcW w:type="dxa" w:w="1134"/>
          </w:tcPr>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Yes</w:t>
            </w:r>
          </w:p>
          <w:p>
            <w:pPr>
              <w:spacing w:before="0" w:after="20" w:line="240" w:lineRule="auto"/>
            </w:pPr>
            <w:r>
              <w:rPr>
                <w:rFonts w:ascii="Segoe UI Symbol" w:hAnsi="Segoe UI Symbol" w:eastAsia="Segoe UI Symbol" w:cs="Segoe UI Symbol"/>
                <w:b w:val="0"/>
                <w:color w:val="1F2937"/>
                <w:sz w:val="18"/>
              </w:rPr>
              <w:t>☐</w:t>
            </w:r>
            <w:r>
              <w:rPr>
                <w:rFonts w:ascii="Calibri" w:hAnsi="Calibri" w:eastAsia="Calibri" w:cs="Calibri"/>
                <w:b w:val="0"/>
                <w:i w:val="0"/>
                <w:color w:val="1F2937"/>
                <w:sz w:val="16"/>
              </w:rPr>
              <w:t xml:space="preserve"> No</w:t>
            </w:r>
          </w:p>
        </w:tc>
        <w:tc>
          <w:tcPr>
            <w:tcW w:type="dxa" w:w="1134"/>
          </w:tcPr>
          <w:p>
            <w:pPr>
              <w:spacing w:before="0" w:after="20" w:line="240" w:lineRule="auto"/>
            </w:pPr>
          </w:p>
        </w:tc>
      </w:tr>
    </w:tbl>
    <w:p>
      <w:r>
        <w:br w:type="page"/>
      </w:r>
    </w:p>
    <w:p>
      <w:pPr>
        <w:keepNext/>
        <w:spacing w:before="0" w:after="60" w:line="240" w:lineRule="auto"/>
      </w:pPr>
      <w:r>
        <w:rPr>
          <w:rFonts w:ascii="Calibri" w:hAnsi="Calibri" w:eastAsia="Calibri" w:cs="Calibri"/>
          <w:b/>
          <w:i w:val="0"/>
          <w:color w:val="1F2937"/>
          <w:sz w:val="28"/>
        </w:rPr>
        <w:t>Part B. Announced, proposed or not yet confirmed: set a check-again date</w:t>
      </w:r>
    </w:p>
    <w:p>
      <w:pPr>
        <w:spacing w:before="0" w:after="80" w:line="240" w:lineRule="auto"/>
      </w:pPr>
      <w:r>
        <w:rPr>
          <w:rFonts w:ascii="Calibri" w:hAnsi="Calibri" w:eastAsia="Calibri" w:cs="Calibri"/>
          <w:b w:val="0"/>
          <w:i w:val="0"/>
          <w:color w:val="555F6B"/>
          <w:sz w:val="18"/>
        </w:rPr>
        <w:t>Most rows here are announced, proposed or drafted: leave the document as it is and set a check-again date before the trigger date. For the rows with a January 1, 2027 trigger (B1, B2, B9, B10, B12, B16, B17), set it no later than December 1, 2026. The rows with status Enacted, details unconfirmed (B18, B20, B21) are made law or rules: read the instrument now and decide whether and when it applies to you. Tick Reviewed when you have read the row and set the date.</w:t>
      </w:r>
    </w:p>
    <w:tbl>
      <w:tblPr>
        <w:tblStyle w:val="TableGrid"/>
        <w:tblW w:type="auto" w:w="0"/>
        <w:jc w:val="center"/>
        <w:tblLayout w:type="fixed"/>
        <w:tblCellMar>
          <w:top w:w="35" w:type="dxa"/>
          <w:left w:w="50" w:type="dxa"/>
          <w:bottom w:w="35" w:type="dxa"/>
          <w:right w:w="50" w:type="dxa"/>
        </w:tblCellMar>
        <w:tblLook w:firstColumn="1" w:firstRow="1" w:lastColumn="0" w:lastRow="0" w:noHBand="0" w:noVBand="1" w:val="04A0"/>
      </w:tblPr>
      <w:tblGrid>
        <w:gridCol w:w="793"/>
        <w:gridCol w:w="1417"/>
        <w:gridCol w:w="2494"/>
        <w:gridCol w:w="1360"/>
        <w:gridCol w:w="1247"/>
        <w:gridCol w:w="4535"/>
        <w:gridCol w:w="1587"/>
        <w:gridCol w:w="1133"/>
        <w:gridCol w:w="1133"/>
      </w:tblGrid>
      <w:tr>
        <w:trPr>
          <w:tblHeader w:val="true"/>
        </w:trPr>
        <w:tc>
          <w:tcPr>
            <w:tcW w:type="dxa" w:w="794"/>
            <w:shd w:val="clear" w:color="auto" w:fill="DCE6F1"/>
          </w:tcPr>
          <w:p>
            <w:pPr>
              <w:spacing w:before="0" w:after="20" w:line="240" w:lineRule="auto"/>
            </w:pPr>
            <w:r>
              <w:rPr>
                <w:rFonts w:ascii="Calibri" w:hAnsi="Calibri" w:eastAsia="Calibri" w:cs="Calibri"/>
                <w:b/>
                <w:i w:val="0"/>
                <w:color w:val="1F2937"/>
                <w:sz w:val="16"/>
              </w:rPr>
              <w:t>Ref</w:t>
            </w:r>
          </w:p>
        </w:tc>
        <w:tc>
          <w:tcPr>
            <w:tcW w:type="dxa" w:w="1417"/>
            <w:shd w:val="clear" w:color="auto" w:fill="DCE6F1"/>
          </w:tcPr>
          <w:p>
            <w:pPr>
              <w:spacing w:before="0" w:after="20" w:line="240" w:lineRule="auto"/>
            </w:pPr>
            <w:r>
              <w:rPr>
                <w:rFonts w:ascii="Calibri" w:hAnsi="Calibri" w:eastAsia="Calibri" w:cs="Calibri"/>
                <w:b/>
                <w:i w:val="0"/>
                <w:color w:val="1F2937"/>
                <w:sz w:val="16"/>
              </w:rPr>
              <w:t>Jurisdiction</w:t>
            </w:r>
          </w:p>
        </w:tc>
        <w:tc>
          <w:tcPr>
            <w:tcW w:type="dxa" w:w="2494"/>
            <w:shd w:val="clear" w:color="auto" w:fill="DCE6F1"/>
          </w:tcPr>
          <w:p>
            <w:pPr>
              <w:spacing w:before="0" w:after="20" w:line="240" w:lineRule="auto"/>
            </w:pPr>
            <w:r>
              <w:rPr>
                <w:rFonts w:ascii="Calibri" w:hAnsi="Calibri" w:eastAsia="Calibri" w:cs="Calibri"/>
                <w:b/>
                <w:i w:val="0"/>
                <w:color w:val="1F2937"/>
                <w:sz w:val="16"/>
              </w:rPr>
              <w:t>Document and clause to review</w:t>
            </w:r>
          </w:p>
        </w:tc>
        <w:tc>
          <w:tcPr>
            <w:tcW w:type="dxa" w:w="1361"/>
            <w:shd w:val="clear" w:color="auto" w:fill="DCE6F1"/>
          </w:tcPr>
          <w:p>
            <w:pPr>
              <w:spacing w:before="0" w:after="20" w:line="240" w:lineRule="auto"/>
            </w:pPr>
            <w:r>
              <w:rPr>
                <w:rFonts w:ascii="Calibri" w:hAnsi="Calibri" w:eastAsia="Calibri" w:cs="Calibri"/>
                <w:b/>
                <w:i w:val="0"/>
                <w:color w:val="1F2937"/>
                <w:sz w:val="16"/>
              </w:rPr>
              <w:t>Trigger date</w:t>
            </w:r>
          </w:p>
        </w:tc>
        <w:tc>
          <w:tcPr>
            <w:tcW w:type="dxa" w:w="1247"/>
            <w:shd w:val="clear" w:color="auto" w:fill="DCE6F1"/>
          </w:tcPr>
          <w:p>
            <w:pPr>
              <w:spacing w:before="0" w:after="20" w:line="240" w:lineRule="auto"/>
            </w:pPr>
            <w:r>
              <w:rPr>
                <w:rFonts w:ascii="Calibri" w:hAnsi="Calibri" w:eastAsia="Calibri" w:cs="Calibri"/>
                <w:b/>
                <w:i w:val="0"/>
                <w:color w:val="1F2937"/>
                <w:sz w:val="16"/>
              </w:rPr>
              <w:t>Status</w:t>
            </w:r>
          </w:p>
        </w:tc>
        <w:tc>
          <w:tcPr>
            <w:tcW w:type="dxa" w:w="4535"/>
            <w:shd w:val="clear" w:color="auto" w:fill="DCE6F1"/>
          </w:tcPr>
          <w:p>
            <w:pPr>
              <w:spacing w:before="0" w:after="20" w:line="240" w:lineRule="auto"/>
            </w:pPr>
            <w:r>
              <w:rPr>
                <w:rFonts w:ascii="Calibri" w:hAnsi="Calibri" w:eastAsia="Calibri" w:cs="Calibri"/>
                <w:b/>
                <w:i w:val="0"/>
                <w:color w:val="1F2937"/>
                <w:sz w:val="16"/>
              </w:rPr>
              <w:t>What the source says</w:t>
            </w:r>
          </w:p>
        </w:tc>
        <w:tc>
          <w:tcPr>
            <w:tcW w:type="dxa" w:w="1587"/>
            <w:shd w:val="clear" w:color="auto" w:fill="DCE6F1"/>
          </w:tcPr>
          <w:p>
            <w:pPr>
              <w:spacing w:before="0" w:after="20" w:line="240" w:lineRule="auto"/>
            </w:pPr>
            <w:r>
              <w:rPr>
                <w:rFonts w:ascii="Calibri" w:hAnsi="Calibri" w:eastAsia="Calibri" w:cs="Calibri"/>
                <w:b/>
                <w:i w:val="0"/>
                <w:color w:val="1F2937"/>
                <w:sz w:val="16"/>
              </w:rPr>
              <w:t>Source</w:t>
            </w:r>
          </w:p>
        </w:tc>
        <w:tc>
          <w:tcPr>
            <w:tcW w:type="dxa" w:w="1134"/>
            <w:shd w:val="clear" w:color="auto" w:fill="DCE6F1"/>
          </w:tcPr>
          <w:p>
            <w:pPr>
              <w:spacing w:before="0" w:after="20" w:line="240" w:lineRule="auto"/>
            </w:pPr>
            <w:r>
              <w:rPr>
                <w:rFonts w:ascii="Calibri" w:hAnsi="Calibri" w:eastAsia="Calibri" w:cs="Calibri"/>
                <w:b/>
                <w:i w:val="0"/>
                <w:color w:val="1F2937"/>
                <w:sz w:val="16"/>
              </w:rPr>
              <w:t>Check again on</w:t>
            </w:r>
          </w:p>
        </w:tc>
        <w:tc>
          <w:tcPr>
            <w:tcW w:type="dxa" w:w="1134"/>
            <w:shd w:val="clear" w:color="auto" w:fill="DCE6F1"/>
          </w:tcPr>
          <w:p>
            <w:pPr>
              <w:spacing w:before="0" w:after="20" w:line="240" w:lineRule="auto"/>
            </w:pPr>
            <w:r>
              <w:rPr>
                <w:rFonts w:ascii="Calibri" w:hAnsi="Calibri" w:eastAsia="Calibri" w:cs="Calibri"/>
                <w:b/>
                <w:i w:val="0"/>
                <w:color w:val="1F2937"/>
                <w:sz w:val="16"/>
              </w:rPr>
              <w:t>Owner</w:t>
            </w:r>
          </w:p>
        </w:tc>
      </w:tr>
      <w:tr>
        <w:trPr>
          <w:cantSplit w:val="true"/>
        </w:trPr>
        <w:tc>
          <w:tcPr>
            <w:tcW w:type="dxa" w:w="794"/>
          </w:tcPr>
          <w:p>
            <w:pPr>
              <w:spacing w:before="0" w:after="20" w:line="240" w:lineRule="auto"/>
            </w:pPr>
            <w:r>
              <w:rPr>
                <w:rFonts w:ascii="Calibri" w:hAnsi="Calibri" w:eastAsia="Calibri" w:cs="Calibri"/>
                <w:b/>
                <w:i w:val="0"/>
                <w:color w:val="1F2937"/>
                <w:sz w:val="16"/>
              </w:rPr>
              <w:t>B1</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Great Britain</w:t>
            </w:r>
          </w:p>
          <w:p>
            <w:pPr>
              <w:spacing w:before="0" w:after="20" w:line="240" w:lineRule="auto"/>
            </w:pPr>
            <w:r>
              <w:rPr>
                <w:rFonts w:ascii="Calibri" w:hAnsi="Calibri" w:eastAsia="Calibri" w:cs="Calibri"/>
                <w:b w:val="0"/>
                <w:i w:val="0"/>
                <w:color w:val="1F2937"/>
                <w:sz w:val="16"/>
              </w:rPr>
              <w:t>England, Scotland and Wales (not Northern Ireland)</w:t>
            </w:r>
          </w:p>
        </w:tc>
        <w:tc>
          <w:tcPr>
            <w:tcW w:type="dxa" w:w="2494"/>
          </w:tcPr>
          <w:p>
            <w:pPr>
              <w:spacing w:before="0" w:after="20" w:line="240" w:lineRule="auto"/>
            </w:pPr>
            <w:r>
              <w:rPr>
                <w:rFonts w:ascii="Calibri" w:hAnsi="Calibri" w:eastAsia="Calibri" w:cs="Calibri"/>
                <w:b/>
                <w:i w:val="0"/>
                <w:color w:val="1F2937"/>
                <w:sz w:val="16"/>
              </w:rPr>
              <w:t>Written statement of the right to join a trade union</w:t>
            </w:r>
          </w:p>
          <w:p>
            <w:pPr>
              <w:spacing w:before="0" w:after="20" w:line="240" w:lineRule="auto"/>
            </w:pPr>
            <w:r>
              <w:rPr>
                <w:rFonts w:ascii="Calibri" w:hAnsi="Calibri" w:eastAsia="Calibri" w:cs="Calibri"/>
                <w:b w:val="0"/>
                <w:i w:val="0"/>
                <w:color w:val="555F6B"/>
                <w:sz w:val="15"/>
              </w:rPr>
              <w:t>Documents: Employee handbook; Offer or appointment letter</w:t>
            </w:r>
          </w:p>
        </w:tc>
        <w:tc>
          <w:tcPr>
            <w:tcW w:type="dxa" w:w="1361"/>
          </w:tcPr>
          <w:p>
            <w:pPr>
              <w:spacing w:before="0" w:after="20" w:line="240" w:lineRule="auto"/>
            </w:pPr>
            <w:r>
              <w:rPr>
                <w:rFonts w:ascii="Calibri" w:hAnsi="Calibri" w:eastAsia="Calibri" w:cs="Calibri"/>
                <w:b w:val="0"/>
                <w:i w:val="0"/>
                <w:color w:val="1F2937"/>
                <w:sz w:val="16"/>
              </w:rPr>
              <w:t>Jan 1, 2027 (GOV.UK timeline)</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GOV.UK's timeline, updated October 22, 2026, lists the duty to inform workers of their right to join a trade union among measures taking effect on January 1, 2027, and says all future dates remain subject to parliamentary processes and may change. Subsections (1), (2) and (5) of section 58 are in force for specified purposes only (S.I. 2026/3).</w:t>
            </w:r>
          </w:p>
        </w:tc>
        <w:tc>
          <w:tcPr>
            <w:tcW w:type="dxa" w:w="1587"/>
          </w:tcPr>
          <w:p>
            <w:pPr>
              <w:spacing w:before="0" w:after="20" w:line="240" w:lineRule="auto"/>
            </w:pPr>
            <w:r>
              <w:rPr>
                <w:rFonts w:ascii="Calibri" w:hAnsi="Calibri" w:eastAsia="Calibri" w:cs="Calibri"/>
                <w:b w:val="0"/>
                <w:i w:val="0"/>
                <w:color w:val="1F2937"/>
                <w:sz w:val="15"/>
              </w:rPr>
              <w:t>GOV.UK timeline; ERA 2025 s.58</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B2</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Great Britain</w:t>
            </w:r>
          </w:p>
          <w:p>
            <w:pPr>
              <w:spacing w:before="0" w:after="20" w:line="240" w:lineRule="auto"/>
            </w:pPr>
            <w:r>
              <w:rPr>
                <w:rFonts w:ascii="Calibri" w:hAnsi="Calibri" w:eastAsia="Calibri" w:cs="Calibri"/>
                <w:b w:val="0"/>
                <w:i w:val="0"/>
                <w:color w:val="1F2937"/>
                <w:sz w:val="16"/>
              </w:rPr>
              <w:t>England, Scotland and Wales (not Northern Ireland)</w:t>
            </w:r>
          </w:p>
        </w:tc>
        <w:tc>
          <w:tcPr>
            <w:tcW w:type="dxa" w:w="2494"/>
          </w:tcPr>
          <w:p>
            <w:pPr>
              <w:spacing w:before="0" w:after="20" w:line="240" w:lineRule="auto"/>
            </w:pPr>
            <w:r>
              <w:rPr>
                <w:rFonts w:ascii="Calibri" w:hAnsi="Calibri" w:eastAsia="Calibri" w:cs="Calibri"/>
                <w:b/>
                <w:i w:val="0"/>
                <w:color w:val="1F2937"/>
                <w:sz w:val="16"/>
              </w:rPr>
              <w:t>Tipping policy</w:t>
            </w:r>
          </w:p>
          <w:p>
            <w:pPr>
              <w:spacing w:before="0" w:after="20" w:line="240" w:lineRule="auto"/>
            </w:pPr>
            <w:r>
              <w:rPr>
                <w:rFonts w:ascii="Calibri" w:hAnsi="Calibri" w:eastAsia="Calibri" w:cs="Calibri"/>
                <w:b w:val="0"/>
                <w:i w:val="0"/>
                <w:color w:val="555F6B"/>
                <w:sz w:val="15"/>
              </w:rPr>
              <w:t>Documents: Employee handbook</w:t>
            </w:r>
          </w:p>
        </w:tc>
        <w:tc>
          <w:tcPr>
            <w:tcW w:type="dxa" w:w="1361"/>
          </w:tcPr>
          <w:p>
            <w:pPr>
              <w:spacing w:before="0" w:after="20" w:line="240" w:lineRule="auto"/>
            </w:pPr>
            <w:r>
              <w:rPr>
                <w:rFonts w:ascii="Calibri" w:hAnsi="Calibri" w:eastAsia="Calibri" w:cs="Calibri"/>
                <w:b w:val="0"/>
                <w:i w:val="0"/>
                <w:color w:val="1F2937"/>
                <w:sz w:val="16"/>
              </w:rPr>
              <w:t>Jan 1, 2027 (GOV.UK timeline)</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GOV.UK lists strengthening tipping law among measures taking effect on January 1, 2027. The section 14 page shows it was not in force at Royal Assent and names no commencement regulations.</w:t>
            </w:r>
          </w:p>
        </w:tc>
        <w:tc>
          <w:tcPr>
            <w:tcW w:type="dxa" w:w="1587"/>
          </w:tcPr>
          <w:p>
            <w:pPr>
              <w:spacing w:before="0" w:after="20" w:line="240" w:lineRule="auto"/>
            </w:pPr>
            <w:r>
              <w:rPr>
                <w:rFonts w:ascii="Calibri" w:hAnsi="Calibri" w:eastAsia="Calibri" w:cs="Calibri"/>
                <w:b w:val="0"/>
                <w:i w:val="0"/>
                <w:color w:val="1F2937"/>
                <w:sz w:val="15"/>
              </w:rPr>
              <w:t>GOV.UK timeline; ERA 2025 s.14</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B3</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Great Britain</w:t>
            </w:r>
          </w:p>
          <w:p>
            <w:pPr>
              <w:spacing w:before="0" w:after="20" w:line="240" w:lineRule="auto"/>
            </w:pPr>
            <w:r>
              <w:rPr>
                <w:rFonts w:ascii="Calibri" w:hAnsi="Calibri" w:eastAsia="Calibri" w:cs="Calibri"/>
                <w:b w:val="0"/>
                <w:i w:val="0"/>
                <w:color w:val="1F2937"/>
                <w:sz w:val="16"/>
              </w:rPr>
              <w:t>England, Scotland and Wales (not Northern Ireland)</w:t>
            </w:r>
          </w:p>
        </w:tc>
        <w:tc>
          <w:tcPr>
            <w:tcW w:type="dxa" w:w="2494"/>
          </w:tcPr>
          <w:p>
            <w:pPr>
              <w:spacing w:before="0" w:after="20" w:line="240" w:lineRule="auto"/>
            </w:pPr>
            <w:r>
              <w:rPr>
                <w:rFonts w:ascii="Calibri" w:hAnsi="Calibri" w:eastAsia="Calibri" w:cs="Calibri"/>
                <w:b/>
                <w:i w:val="0"/>
                <w:color w:val="1F2937"/>
                <w:sz w:val="16"/>
              </w:rPr>
              <w:t>Changing core contract terms (fire and rehire)</w:t>
            </w:r>
          </w:p>
          <w:p>
            <w:pPr>
              <w:spacing w:before="0" w:after="20" w:line="240" w:lineRule="auto"/>
            </w:pPr>
            <w:r>
              <w:rPr>
                <w:rFonts w:ascii="Calibri" w:hAnsi="Calibri" w:eastAsia="Calibri" w:cs="Calibri"/>
                <w:b w:val="0"/>
                <w:i w:val="0"/>
                <w:color w:val="555F6B"/>
                <w:sz w:val="15"/>
              </w:rPr>
              <w:t>Documents: Employment contract template; Disciplinary and grievance procedure</w:t>
            </w:r>
          </w:p>
        </w:tc>
        <w:tc>
          <w:tcPr>
            <w:tcW w:type="dxa" w:w="1361"/>
          </w:tcPr>
          <w:p>
            <w:pPr>
              <w:spacing w:before="0" w:after="20" w:line="240" w:lineRule="auto"/>
            </w:pPr>
            <w:r>
              <w:rPr>
                <w:rFonts w:ascii="Calibri" w:hAnsi="Calibri" w:eastAsia="Calibri" w:cs="Calibri"/>
                <w:b w:val="0"/>
                <w:i w:val="0"/>
                <w:color w:val="1F2937"/>
                <w:sz w:val="16"/>
              </w:rPr>
              <w:t>Mar 2027 (GOV.UK timeline)</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GOV.UK lists fire and rehire protections for March 2027. The government factsheet describes dismissal for failing to agree to a change in certain core contractual terms as automatically unfair, except where a business is in severe financial difficulty. Parts of section 28 are in force for specified purposes (S.I. 2026/3 and S.I. 2026/323).</w:t>
            </w:r>
          </w:p>
        </w:tc>
        <w:tc>
          <w:tcPr>
            <w:tcW w:type="dxa" w:w="1587"/>
          </w:tcPr>
          <w:p>
            <w:pPr>
              <w:spacing w:before="0" w:after="20" w:line="240" w:lineRule="auto"/>
            </w:pPr>
            <w:r>
              <w:rPr>
                <w:rFonts w:ascii="Calibri" w:hAnsi="Calibri" w:eastAsia="Calibri" w:cs="Calibri"/>
                <w:b w:val="0"/>
                <w:i w:val="0"/>
                <w:color w:val="1F2937"/>
                <w:sz w:val="15"/>
              </w:rPr>
              <w:t>GOV.UK timeline; ERA 2025 factsheet; ERA 2025 s.28</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B4</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Great Britain</w:t>
            </w:r>
          </w:p>
          <w:p>
            <w:pPr>
              <w:spacing w:before="0" w:after="20" w:line="240" w:lineRule="auto"/>
            </w:pPr>
            <w:r>
              <w:rPr>
                <w:rFonts w:ascii="Calibri" w:hAnsi="Calibri" w:eastAsia="Calibri" w:cs="Calibri"/>
                <w:b w:val="0"/>
                <w:i w:val="0"/>
                <w:color w:val="1F2937"/>
                <w:sz w:val="16"/>
              </w:rPr>
              <w:t>England, Scotland and Wales (not Northern Ireland)</w:t>
            </w:r>
          </w:p>
        </w:tc>
        <w:tc>
          <w:tcPr>
            <w:tcW w:type="dxa" w:w="2494"/>
          </w:tcPr>
          <w:p>
            <w:pPr>
              <w:spacing w:before="0" w:after="20" w:line="240" w:lineRule="auto"/>
            </w:pPr>
            <w:r>
              <w:rPr>
                <w:rFonts w:ascii="Calibri" w:hAnsi="Calibri" w:eastAsia="Calibri" w:cs="Calibri"/>
                <w:b/>
                <w:i w:val="0"/>
                <w:color w:val="1F2937"/>
                <w:sz w:val="16"/>
              </w:rPr>
              <w:t>Bereavement leave</w:t>
            </w:r>
          </w:p>
          <w:p>
            <w:pPr>
              <w:spacing w:before="0" w:after="20" w:line="240" w:lineRule="auto"/>
            </w:pPr>
            <w:r>
              <w:rPr>
                <w:rFonts w:ascii="Calibri" w:hAnsi="Calibri" w:eastAsia="Calibri" w:cs="Calibri"/>
                <w:b w:val="0"/>
                <w:i w:val="0"/>
                <w:color w:val="555F6B"/>
                <w:sz w:val="15"/>
              </w:rPr>
              <w:t>Documents: Employee handbook; Leave policy</w:t>
            </w:r>
          </w:p>
        </w:tc>
        <w:tc>
          <w:tcPr>
            <w:tcW w:type="dxa" w:w="1361"/>
          </w:tcPr>
          <w:p>
            <w:pPr>
              <w:spacing w:before="0" w:after="20" w:line="240" w:lineRule="auto"/>
            </w:pPr>
            <w:r>
              <w:rPr>
                <w:rFonts w:ascii="Calibri" w:hAnsi="Calibri" w:eastAsia="Calibri" w:cs="Calibri"/>
                <w:b w:val="0"/>
                <w:i w:val="0"/>
                <w:color w:val="1F2937"/>
                <w:sz w:val="16"/>
              </w:rPr>
              <w:t>Apr 2027 (GOV.UK timeline)</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GOV.UK lists bereavement leave, including pregnancy loss, among measures taking effect in April 2027. The section 18 page shows extent England, Wales and Scotland.</w:t>
            </w:r>
          </w:p>
        </w:tc>
        <w:tc>
          <w:tcPr>
            <w:tcW w:type="dxa" w:w="1587"/>
          </w:tcPr>
          <w:p>
            <w:pPr>
              <w:spacing w:before="0" w:after="20" w:line="240" w:lineRule="auto"/>
            </w:pPr>
            <w:r>
              <w:rPr>
                <w:rFonts w:ascii="Calibri" w:hAnsi="Calibri" w:eastAsia="Calibri" w:cs="Calibri"/>
                <w:b w:val="0"/>
                <w:i w:val="0"/>
                <w:color w:val="1F2937"/>
                <w:sz w:val="15"/>
              </w:rPr>
              <w:t>GOV.UK timeline; ERA 2025 s.18</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B5</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Great Britain</w:t>
            </w:r>
          </w:p>
          <w:p>
            <w:pPr>
              <w:spacing w:before="0" w:after="20" w:line="240" w:lineRule="auto"/>
            </w:pPr>
            <w:r>
              <w:rPr>
                <w:rFonts w:ascii="Calibri" w:hAnsi="Calibri" w:eastAsia="Calibri" w:cs="Calibri"/>
                <w:b w:val="0"/>
                <w:i w:val="0"/>
                <w:color w:val="1F2937"/>
                <w:sz w:val="16"/>
              </w:rPr>
              <w:t>England, Scotland and Wales (not Northern Ireland)</w:t>
            </w:r>
          </w:p>
        </w:tc>
        <w:tc>
          <w:tcPr>
            <w:tcW w:type="dxa" w:w="2494"/>
          </w:tcPr>
          <w:p>
            <w:pPr>
              <w:spacing w:before="0" w:after="20" w:line="240" w:lineRule="auto"/>
            </w:pPr>
            <w:r>
              <w:rPr>
                <w:rFonts w:ascii="Calibri" w:hAnsi="Calibri" w:eastAsia="Calibri" w:cs="Calibri"/>
                <w:b/>
                <w:i w:val="0"/>
                <w:color w:val="1F2937"/>
                <w:sz w:val="16"/>
              </w:rPr>
              <w:t>Collective redundancy threshold</w:t>
            </w:r>
          </w:p>
          <w:p>
            <w:pPr>
              <w:spacing w:before="0" w:after="20" w:line="240" w:lineRule="auto"/>
            </w:pPr>
            <w:r>
              <w:rPr>
                <w:rFonts w:ascii="Calibri" w:hAnsi="Calibri" w:eastAsia="Calibri" w:cs="Calibri"/>
                <w:b w:val="0"/>
                <w:i w:val="0"/>
                <w:color w:val="555F6B"/>
                <w:sz w:val="15"/>
              </w:rPr>
              <w:t>Documents: Disciplinary and grievance procedure</w:t>
            </w:r>
          </w:p>
        </w:tc>
        <w:tc>
          <w:tcPr>
            <w:tcW w:type="dxa" w:w="1361"/>
          </w:tcPr>
          <w:p>
            <w:pPr>
              <w:spacing w:before="0" w:after="20" w:line="240" w:lineRule="auto"/>
            </w:pPr>
            <w:r>
              <w:rPr>
                <w:rFonts w:ascii="Calibri" w:hAnsi="Calibri" w:eastAsia="Calibri" w:cs="Calibri"/>
                <w:b w:val="0"/>
                <w:i w:val="0"/>
                <w:color w:val="1F2937"/>
                <w:sz w:val="16"/>
              </w:rPr>
              <w:t>Apr 2027 (GOV.UK timeline)</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GOV.UK lists an organization-wide collective redundancy threshold for April 2027. The government factsheet says the new threshold will be set in secondary legislation and gives no figure. The section 29 page shows extent England, Wales and Scotland.</w:t>
            </w:r>
          </w:p>
        </w:tc>
        <w:tc>
          <w:tcPr>
            <w:tcW w:type="dxa" w:w="1587"/>
          </w:tcPr>
          <w:p>
            <w:pPr>
              <w:spacing w:before="0" w:after="20" w:line="240" w:lineRule="auto"/>
            </w:pPr>
            <w:r>
              <w:rPr>
                <w:rFonts w:ascii="Calibri" w:hAnsi="Calibri" w:eastAsia="Calibri" w:cs="Calibri"/>
                <w:b w:val="0"/>
                <w:i w:val="0"/>
                <w:color w:val="1F2937"/>
                <w:sz w:val="15"/>
              </w:rPr>
              <w:t>GOV.UK timeline; ERA 2025 factsheet; ERA 2025 s.29</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B6</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Great Britain</w:t>
            </w:r>
          </w:p>
          <w:p>
            <w:pPr>
              <w:spacing w:before="0" w:after="20" w:line="240" w:lineRule="auto"/>
            </w:pPr>
            <w:r>
              <w:rPr>
                <w:rFonts w:ascii="Calibri" w:hAnsi="Calibri" w:eastAsia="Calibri" w:cs="Calibri"/>
                <w:b w:val="0"/>
                <w:i w:val="0"/>
                <w:color w:val="1F2937"/>
                <w:sz w:val="16"/>
              </w:rPr>
              <w:t>England, Scotland and Wales (not Northern Ireland)</w:t>
            </w:r>
          </w:p>
        </w:tc>
        <w:tc>
          <w:tcPr>
            <w:tcW w:type="dxa" w:w="2494"/>
          </w:tcPr>
          <w:p>
            <w:pPr>
              <w:spacing w:before="0" w:after="20" w:line="240" w:lineRule="auto"/>
            </w:pPr>
            <w:r>
              <w:rPr>
                <w:rFonts w:ascii="Calibri" w:hAnsi="Calibri" w:eastAsia="Calibri" w:cs="Calibri"/>
                <w:b/>
                <w:i w:val="0"/>
                <w:color w:val="1F2937"/>
                <w:sz w:val="16"/>
              </w:rPr>
              <w:t>Confidentiality and NDA wording</w:t>
            </w:r>
          </w:p>
          <w:p>
            <w:pPr>
              <w:spacing w:before="0" w:after="20" w:line="240" w:lineRule="auto"/>
            </w:pPr>
            <w:r>
              <w:rPr>
                <w:rFonts w:ascii="Calibri" w:hAnsi="Calibri" w:eastAsia="Calibri" w:cs="Calibri"/>
                <w:b w:val="0"/>
                <w:i w:val="0"/>
                <w:color w:val="555F6B"/>
                <w:sz w:val="15"/>
              </w:rPr>
              <w:t>Documents: Separation or settlement template; Employment contract template</w:t>
            </w:r>
          </w:p>
        </w:tc>
        <w:tc>
          <w:tcPr>
            <w:tcW w:type="dxa" w:w="1361"/>
          </w:tcPr>
          <w:p>
            <w:pPr>
              <w:spacing w:before="0" w:after="20" w:line="240" w:lineRule="auto"/>
            </w:pPr>
            <w:r>
              <w:rPr>
                <w:rFonts w:ascii="Calibri" w:hAnsi="Calibri" w:eastAsia="Calibri" w:cs="Calibri"/>
                <w:b w:val="0"/>
                <w:i w:val="0"/>
                <w:color w:val="1F2937"/>
                <w:sz w:val="16"/>
              </w:rPr>
              <w:t>Sep 2027 (GOV.UK timeline)</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GOV.UK lists regulations to prevent the misuse of NDAs in cases of workplace harassment or discrimination for September 2027. The factsheet describes the measure as voiding any provision that seeks to stop a worker from speaking out about harassment or discrimination they have experienced. The section 24 page shows extent England, Wales and Scotland.</w:t>
            </w:r>
          </w:p>
        </w:tc>
        <w:tc>
          <w:tcPr>
            <w:tcW w:type="dxa" w:w="1587"/>
          </w:tcPr>
          <w:p>
            <w:pPr>
              <w:spacing w:before="0" w:after="20" w:line="240" w:lineRule="auto"/>
            </w:pPr>
            <w:r>
              <w:rPr>
                <w:rFonts w:ascii="Calibri" w:hAnsi="Calibri" w:eastAsia="Calibri" w:cs="Calibri"/>
                <w:b w:val="0"/>
                <w:i w:val="0"/>
                <w:color w:val="1F2937"/>
                <w:sz w:val="15"/>
              </w:rPr>
              <w:t>GOV.UK timeline; ERA 2025 factsheet; ERA 2025 s.24</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B7</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Great Britain</w:t>
            </w:r>
          </w:p>
          <w:p>
            <w:pPr>
              <w:spacing w:before="0" w:after="20" w:line="240" w:lineRule="auto"/>
            </w:pPr>
            <w:r>
              <w:rPr>
                <w:rFonts w:ascii="Calibri" w:hAnsi="Calibri" w:eastAsia="Calibri" w:cs="Calibri"/>
                <w:b w:val="0"/>
                <w:i w:val="0"/>
                <w:color w:val="1F2937"/>
                <w:sz w:val="16"/>
              </w:rPr>
              <w:t>England, Scotland and Wales (not Northern Ireland)</w:t>
            </w:r>
          </w:p>
        </w:tc>
        <w:tc>
          <w:tcPr>
            <w:tcW w:type="dxa" w:w="2494"/>
          </w:tcPr>
          <w:p>
            <w:pPr>
              <w:spacing w:before="0" w:after="20" w:line="240" w:lineRule="auto"/>
            </w:pPr>
            <w:r>
              <w:rPr>
                <w:rFonts w:ascii="Calibri" w:hAnsi="Calibri" w:eastAsia="Calibri" w:cs="Calibri"/>
                <w:b/>
                <w:i w:val="0"/>
                <w:color w:val="1F2937"/>
                <w:sz w:val="16"/>
              </w:rPr>
              <w:t>Dismissal protection for pregnancy and new mothers</w:t>
            </w:r>
          </w:p>
          <w:p>
            <w:pPr>
              <w:spacing w:before="0" w:after="20" w:line="240" w:lineRule="auto"/>
            </w:pPr>
            <w:r>
              <w:rPr>
                <w:rFonts w:ascii="Calibri" w:hAnsi="Calibri" w:eastAsia="Calibri" w:cs="Calibri"/>
                <w:b w:val="0"/>
                <w:i w:val="0"/>
                <w:color w:val="555F6B"/>
                <w:sz w:val="15"/>
              </w:rPr>
              <w:t>Documents: Employee handbook; Disciplinary and grievance procedure</w:t>
            </w:r>
          </w:p>
        </w:tc>
        <w:tc>
          <w:tcPr>
            <w:tcW w:type="dxa" w:w="1361"/>
          </w:tcPr>
          <w:p>
            <w:pPr>
              <w:spacing w:before="0" w:after="20" w:line="240" w:lineRule="auto"/>
            </w:pPr>
            <w:r>
              <w:rPr>
                <w:rFonts w:ascii="Calibri" w:hAnsi="Calibri" w:eastAsia="Calibri" w:cs="Calibri"/>
                <w:b w:val="0"/>
                <w:i w:val="0"/>
                <w:color w:val="1F2937"/>
                <w:sz w:val="16"/>
              </w:rPr>
              <w:t>Oct 2027 (GOV.UK timeline)</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GOV.UK lists enhanced dismissal protections for pregnant women and new mothers for October 2027. The factsheet describes the protection as lasting at least six months after return to work, subject to specific exceptions. The section 26 page, headed Dismissal during pregnancy, shows extent England, Wales and Scotland.</w:t>
            </w:r>
          </w:p>
        </w:tc>
        <w:tc>
          <w:tcPr>
            <w:tcW w:type="dxa" w:w="1587"/>
          </w:tcPr>
          <w:p>
            <w:pPr>
              <w:spacing w:before="0" w:after="20" w:line="240" w:lineRule="auto"/>
            </w:pPr>
            <w:r>
              <w:rPr>
                <w:rFonts w:ascii="Calibri" w:hAnsi="Calibri" w:eastAsia="Calibri" w:cs="Calibri"/>
                <w:b w:val="0"/>
                <w:i w:val="0"/>
                <w:color w:val="1F2937"/>
                <w:sz w:val="15"/>
              </w:rPr>
              <w:t>GOV.UK timeline; ERA 2025 factsheet; ERA 2025 s.26</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B8</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Great Britain</w:t>
            </w:r>
          </w:p>
          <w:p>
            <w:pPr>
              <w:spacing w:before="0" w:after="20" w:line="240" w:lineRule="auto"/>
            </w:pPr>
            <w:r>
              <w:rPr>
                <w:rFonts w:ascii="Calibri" w:hAnsi="Calibri" w:eastAsia="Calibri" w:cs="Calibri"/>
                <w:b w:val="0"/>
                <w:i w:val="0"/>
                <w:color w:val="1F2937"/>
                <w:sz w:val="16"/>
              </w:rPr>
              <w:t>England, Scotland and Wales (not Northern Ireland)</w:t>
            </w:r>
          </w:p>
        </w:tc>
        <w:tc>
          <w:tcPr>
            <w:tcW w:type="dxa" w:w="2494"/>
          </w:tcPr>
          <w:p>
            <w:pPr>
              <w:spacing w:before="0" w:after="20" w:line="240" w:lineRule="auto"/>
            </w:pPr>
            <w:r>
              <w:rPr>
                <w:rFonts w:ascii="Calibri" w:hAnsi="Calibri" w:eastAsia="Calibri" w:cs="Calibri"/>
                <w:b/>
                <w:i w:val="0"/>
                <w:color w:val="1F2937"/>
                <w:sz w:val="16"/>
              </w:rPr>
              <w:t>Flexible working request policy</w:t>
            </w:r>
          </w:p>
          <w:p>
            <w:pPr>
              <w:spacing w:before="0" w:after="20" w:line="240" w:lineRule="auto"/>
            </w:pPr>
            <w:r>
              <w:rPr>
                <w:rFonts w:ascii="Calibri" w:hAnsi="Calibri" w:eastAsia="Calibri" w:cs="Calibri"/>
                <w:b w:val="0"/>
                <w:i w:val="0"/>
                <w:color w:val="555F6B"/>
                <w:sz w:val="15"/>
              </w:rPr>
              <w:t>Documents: Employee handbook</w:t>
            </w:r>
          </w:p>
        </w:tc>
        <w:tc>
          <w:tcPr>
            <w:tcW w:type="dxa" w:w="1361"/>
          </w:tcPr>
          <w:p>
            <w:pPr>
              <w:spacing w:before="0" w:after="20" w:line="240" w:lineRule="auto"/>
            </w:pPr>
            <w:r>
              <w:rPr>
                <w:rFonts w:ascii="Calibri" w:hAnsi="Calibri" w:eastAsia="Calibri" w:cs="Calibri"/>
                <w:b w:val="0"/>
                <w:i w:val="0"/>
                <w:color w:val="1F2937"/>
                <w:sz w:val="16"/>
              </w:rPr>
              <w:t>Oct 2027 (GOV.UK timeline)</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GOV.UK lists flexible working for October 2027. The factsheet describes the change as requiring that a rejection of a request be reasonable. The section 9 page shows extent England, Wales and Scotland.</w:t>
            </w:r>
          </w:p>
        </w:tc>
        <w:tc>
          <w:tcPr>
            <w:tcW w:type="dxa" w:w="1587"/>
          </w:tcPr>
          <w:p>
            <w:pPr>
              <w:spacing w:before="0" w:after="20" w:line="240" w:lineRule="auto"/>
            </w:pPr>
            <w:r>
              <w:rPr>
                <w:rFonts w:ascii="Calibri" w:hAnsi="Calibri" w:eastAsia="Calibri" w:cs="Calibri"/>
                <w:b w:val="0"/>
                <w:i w:val="0"/>
                <w:color w:val="1F2937"/>
                <w:sz w:val="15"/>
              </w:rPr>
              <w:t>GOV.UK timeline; ERA 2025 factsheet; ERA 2025 s.9</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B9</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Maine</w:t>
            </w:r>
          </w:p>
        </w:tc>
        <w:tc>
          <w:tcPr>
            <w:tcW w:type="dxa" w:w="2494"/>
          </w:tcPr>
          <w:p>
            <w:pPr>
              <w:spacing w:before="0" w:after="20" w:line="240" w:lineRule="auto"/>
            </w:pPr>
            <w:r>
              <w:rPr>
                <w:rFonts w:ascii="Calibri" w:hAnsi="Calibri" w:eastAsia="Calibri" w:cs="Calibri"/>
                <w:b/>
                <w:i w:val="0"/>
                <w:color w:val="1F2937"/>
                <w:sz w:val="16"/>
              </w:rPr>
              <w:t>Salary stated for overtime-exempt roles</w:t>
            </w:r>
          </w:p>
          <w:p>
            <w:pPr>
              <w:spacing w:before="0" w:after="20" w:line="240" w:lineRule="auto"/>
            </w:pPr>
            <w:r>
              <w:rPr>
                <w:rFonts w:ascii="Calibri" w:hAnsi="Calibri" w:eastAsia="Calibri" w:cs="Calibri"/>
                <w:b w:val="0"/>
                <w:i w:val="0"/>
                <w:color w:val="555F6B"/>
                <w:sz w:val="15"/>
              </w:rPr>
              <w:t>Documents: Offer or appointment letter; Payroll and pay policy</w:t>
            </w:r>
          </w:p>
        </w:tc>
        <w:tc>
          <w:tcPr>
            <w:tcW w:type="dxa" w:w="1361"/>
          </w:tcPr>
          <w:p>
            <w:pPr>
              <w:spacing w:before="0" w:after="20" w:line="240" w:lineRule="auto"/>
            </w:pPr>
            <w:r>
              <w:rPr>
                <w:rFonts w:ascii="Calibri" w:hAnsi="Calibri" w:eastAsia="Calibri" w:cs="Calibri"/>
                <w:b w:val="0"/>
                <w:i w:val="0"/>
                <w:color w:val="1F2937"/>
                <w:sz w:val="16"/>
              </w:rPr>
              <w:t>Jan 1, 2027</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The Maine Department of Labor says that from January 1, 2027 the minimum salary for salaried workers exempt from overtime will be $905.79 a week, or $47,101.08 a year, and that duties still count. The state minimum wage rises to $15.70 an hour.</w:t>
            </w:r>
          </w:p>
        </w:tc>
        <w:tc>
          <w:tcPr>
            <w:tcW w:type="dxa" w:w="1587"/>
          </w:tcPr>
          <w:p>
            <w:pPr>
              <w:spacing w:before="0" w:after="20" w:line="240" w:lineRule="auto"/>
            </w:pPr>
            <w:r>
              <w:rPr>
                <w:rFonts w:ascii="Calibri" w:hAnsi="Calibri" w:eastAsia="Calibri" w:cs="Calibri"/>
                <w:b w:val="0"/>
                <w:i w:val="0"/>
                <w:color w:val="1F2937"/>
                <w:sz w:val="15"/>
              </w:rPr>
              <w:t>Maine DOL</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B10</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California</w:t>
            </w:r>
          </w:p>
        </w:tc>
        <w:tc>
          <w:tcPr>
            <w:tcW w:type="dxa" w:w="2494"/>
          </w:tcPr>
          <w:p>
            <w:pPr>
              <w:spacing w:before="0" w:after="20" w:line="240" w:lineRule="auto"/>
            </w:pPr>
            <w:r>
              <w:rPr>
                <w:rFonts w:ascii="Calibri" w:hAnsi="Calibri" w:eastAsia="Calibri" w:cs="Calibri"/>
                <w:b/>
                <w:i w:val="0"/>
                <w:color w:val="1F2937"/>
                <w:sz w:val="16"/>
              </w:rPr>
              <w:t>Salary stated for overtime-exempt roles</w:t>
            </w:r>
          </w:p>
          <w:p>
            <w:pPr>
              <w:spacing w:before="0" w:after="20" w:line="240" w:lineRule="auto"/>
            </w:pPr>
            <w:r>
              <w:rPr>
                <w:rFonts w:ascii="Calibri" w:hAnsi="Calibri" w:eastAsia="Calibri" w:cs="Calibri"/>
                <w:b w:val="0"/>
                <w:i w:val="0"/>
                <w:color w:val="555F6B"/>
                <w:sz w:val="15"/>
              </w:rPr>
              <w:t>Documents: Offer or appointment letter; Payroll and pay policy</w:t>
            </w:r>
          </w:p>
        </w:tc>
        <w:tc>
          <w:tcPr>
            <w:tcW w:type="dxa" w:w="1361"/>
          </w:tcPr>
          <w:p>
            <w:pPr>
              <w:spacing w:before="0" w:after="20" w:line="240" w:lineRule="auto"/>
            </w:pPr>
            <w:r>
              <w:rPr>
                <w:rFonts w:ascii="Calibri" w:hAnsi="Calibri" w:eastAsia="Calibri" w:cs="Calibri"/>
                <w:b w:val="0"/>
                <w:i w:val="0"/>
                <w:color w:val="1F2937"/>
                <w:sz w:val="16"/>
              </w:rPr>
              <w:t>Jan 1, 2027</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California's release 2026-66 (August 13, 2026) says the statewide minimum wage will be $17.40 an hour and an exempt employee must earn at least $72,384 a year ($17.40 x 2 x 40 hours x 52 weeks) from January 1, 2027.</w:t>
            </w:r>
          </w:p>
        </w:tc>
        <w:tc>
          <w:tcPr>
            <w:tcW w:type="dxa" w:w="1587"/>
          </w:tcPr>
          <w:p>
            <w:pPr>
              <w:spacing w:before="0" w:after="20" w:line="240" w:lineRule="auto"/>
            </w:pPr>
            <w:r>
              <w:rPr>
                <w:rFonts w:ascii="Calibri" w:hAnsi="Calibri" w:eastAsia="Calibri" w:cs="Calibri"/>
                <w:b w:val="0"/>
                <w:i w:val="0"/>
                <w:color w:val="1F2937"/>
                <w:sz w:val="15"/>
              </w:rPr>
              <w:t>CA DIR 2026-66</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B11</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United States</w:t>
            </w:r>
          </w:p>
          <w:p>
            <w:pPr>
              <w:spacing w:before="0" w:after="20" w:line="240" w:lineRule="auto"/>
            </w:pPr>
            <w:r>
              <w:rPr>
                <w:rFonts w:ascii="Calibri" w:hAnsi="Calibri" w:eastAsia="Calibri" w:cs="Calibri"/>
                <w:b w:val="0"/>
                <w:i w:val="0"/>
                <w:color w:val="1F2937"/>
                <w:sz w:val="16"/>
              </w:rPr>
              <w:t>Federal</w:t>
            </w:r>
          </w:p>
        </w:tc>
        <w:tc>
          <w:tcPr>
            <w:tcW w:type="dxa" w:w="2494"/>
          </w:tcPr>
          <w:p>
            <w:pPr>
              <w:spacing w:before="0" w:after="20" w:line="240" w:lineRule="auto"/>
            </w:pPr>
            <w:r>
              <w:rPr>
                <w:rFonts w:ascii="Calibri" w:hAnsi="Calibri" w:eastAsia="Calibri" w:cs="Calibri"/>
                <w:b/>
                <w:i w:val="0"/>
                <w:color w:val="1F2937"/>
                <w:sz w:val="16"/>
              </w:rPr>
              <w:t>Federal noncompete rule</w:t>
            </w:r>
          </w:p>
          <w:p>
            <w:pPr>
              <w:spacing w:before="0" w:after="20" w:line="240" w:lineRule="auto"/>
            </w:pPr>
            <w:r>
              <w:rPr>
                <w:rFonts w:ascii="Calibri" w:hAnsi="Calibri" w:eastAsia="Calibri" w:cs="Calibri"/>
                <w:b w:val="0"/>
                <w:i w:val="0"/>
                <w:color w:val="555F6B"/>
                <w:sz w:val="15"/>
              </w:rPr>
              <w:t>Documents: Restrictive covenant agreement</w:t>
            </w:r>
          </w:p>
        </w:tc>
        <w:tc>
          <w:tcPr>
            <w:tcW w:type="dxa" w:w="1361"/>
          </w:tcPr>
          <w:p>
            <w:pPr>
              <w:spacing w:before="0" w:after="20" w:line="240" w:lineRule="auto"/>
            </w:pPr>
            <w:r>
              <w:rPr>
                <w:rFonts w:ascii="Calibri" w:hAnsi="Calibri" w:eastAsia="Calibri" w:cs="Calibri"/>
                <w:b w:val="0"/>
                <w:i w:val="0"/>
                <w:color w:val="1F2937"/>
                <w:sz w:val="16"/>
              </w:rPr>
              <w:t>No date</w:t>
            </w:r>
          </w:p>
        </w:tc>
        <w:tc>
          <w:tcPr>
            <w:tcW w:type="dxa" w:w="1247"/>
            <w:shd w:val="clear" w:color="auto" w:fill="EFEFEF"/>
          </w:tcPr>
          <w:p>
            <w:pPr>
              <w:spacing w:before="0" w:after="20" w:line="240" w:lineRule="auto"/>
            </w:pPr>
            <w:r>
              <w:rPr>
                <w:rFonts w:ascii="Calibri" w:hAnsi="Calibri" w:eastAsia="Calibri" w:cs="Calibri"/>
                <w:b/>
                <w:i w:val="0"/>
                <w:color w:val="1F2937"/>
                <w:sz w:val="16"/>
              </w:rPr>
              <w:t>Not in effect</w:t>
            </w:r>
          </w:p>
        </w:tc>
        <w:tc>
          <w:tcPr>
            <w:tcW w:type="dxa" w:w="4535"/>
          </w:tcPr>
          <w:p>
            <w:pPr>
              <w:spacing w:before="0" w:after="20" w:line="240" w:lineRule="auto"/>
            </w:pPr>
            <w:r>
              <w:rPr>
                <w:rFonts w:ascii="Calibri" w:hAnsi="Calibri" w:eastAsia="Calibri" w:cs="Calibri"/>
                <w:b w:val="0"/>
                <w:i w:val="0"/>
                <w:color w:val="1F2937"/>
                <w:sz w:val="16"/>
              </w:rPr>
              <w:t>The FTC says the Noncompete Rule is not in effect and is not enforceable (page updated April 20, 2026).</w:t>
            </w:r>
          </w:p>
        </w:tc>
        <w:tc>
          <w:tcPr>
            <w:tcW w:type="dxa" w:w="1587"/>
          </w:tcPr>
          <w:p>
            <w:pPr>
              <w:spacing w:before="0" w:after="20" w:line="240" w:lineRule="auto"/>
            </w:pPr>
            <w:r>
              <w:rPr>
                <w:rFonts w:ascii="Calibri" w:hAnsi="Calibri" w:eastAsia="Calibri" w:cs="Calibri"/>
                <w:b w:val="0"/>
                <w:i w:val="0"/>
                <w:color w:val="1F2937"/>
                <w:sz w:val="15"/>
              </w:rPr>
              <w:t>FTC</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B12</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Canada</w:t>
            </w:r>
          </w:p>
          <w:p>
            <w:pPr>
              <w:spacing w:before="0" w:after="20" w:line="240" w:lineRule="auto"/>
            </w:pPr>
            <w:r>
              <w:rPr>
                <w:rFonts w:ascii="Calibri" w:hAnsi="Calibri" w:eastAsia="Calibri" w:cs="Calibri"/>
                <w:b w:val="0"/>
                <w:i w:val="0"/>
                <w:color w:val="1F2937"/>
                <w:sz w:val="16"/>
              </w:rPr>
              <w:t>Ontario</w:t>
            </w:r>
          </w:p>
        </w:tc>
        <w:tc>
          <w:tcPr>
            <w:tcW w:type="dxa" w:w="2494"/>
          </w:tcPr>
          <w:p>
            <w:pPr>
              <w:spacing w:before="0" w:after="20" w:line="240" w:lineRule="auto"/>
            </w:pPr>
            <w:r>
              <w:rPr>
                <w:rFonts w:ascii="Calibri" w:hAnsi="Calibri" w:eastAsia="Calibri" w:cs="Calibri"/>
                <w:b/>
                <w:i w:val="0"/>
                <w:color w:val="1F2937"/>
                <w:sz w:val="16"/>
              </w:rPr>
              <w:t>Uniform costs (Bill 105)</w:t>
            </w:r>
          </w:p>
          <w:p>
            <w:pPr>
              <w:spacing w:before="0" w:after="20" w:line="240" w:lineRule="auto"/>
            </w:pPr>
            <w:r>
              <w:rPr>
                <w:rFonts w:ascii="Calibri" w:hAnsi="Calibri" w:eastAsia="Calibri" w:cs="Calibri"/>
                <w:b w:val="0"/>
                <w:i w:val="0"/>
                <w:color w:val="555F6B"/>
                <w:sz w:val="15"/>
              </w:rPr>
              <w:t>Documents: Employee handbook</w:t>
            </w:r>
          </w:p>
        </w:tc>
        <w:tc>
          <w:tcPr>
            <w:tcW w:type="dxa" w:w="1361"/>
          </w:tcPr>
          <w:p>
            <w:pPr>
              <w:spacing w:before="0" w:after="20" w:line="240" w:lineRule="auto"/>
            </w:pPr>
            <w:r>
              <w:rPr>
                <w:rFonts w:ascii="Calibri" w:hAnsi="Calibri" w:eastAsia="Calibri" w:cs="Calibri"/>
                <w:b w:val="0"/>
                <w:i w:val="0"/>
                <w:color w:val="1F2937"/>
                <w:sz w:val="16"/>
              </w:rPr>
              <w:t>Jan 1, 2027, if passed</w:t>
            </w:r>
          </w:p>
        </w:tc>
        <w:tc>
          <w:tcPr>
            <w:tcW w:type="dxa" w:w="1247"/>
            <w:shd w:val="clear" w:color="auto" w:fill="EFEFEF"/>
          </w:tcPr>
          <w:p>
            <w:pPr>
              <w:spacing w:before="0" w:after="20" w:line="240" w:lineRule="auto"/>
            </w:pPr>
            <w:r>
              <w:rPr>
                <w:rFonts w:ascii="Calibri" w:hAnsi="Calibri" w:eastAsia="Calibri" w:cs="Calibri"/>
                <w:b/>
                <w:i w:val="0"/>
                <w:color w:val="1F2937"/>
                <w:sz w:val="16"/>
              </w:rPr>
              <w:t>Bill</w:t>
            </w:r>
          </w:p>
        </w:tc>
        <w:tc>
          <w:tcPr>
            <w:tcW w:type="dxa" w:w="4535"/>
          </w:tcPr>
          <w:p>
            <w:pPr>
              <w:spacing w:before="0" w:after="20" w:line="240" w:lineRule="auto"/>
            </w:pPr>
            <w:r>
              <w:rPr>
                <w:rFonts w:ascii="Calibri" w:hAnsi="Calibri" w:eastAsia="Calibri" w:cs="Calibri"/>
                <w:b w:val="0"/>
                <w:i w:val="0"/>
                <w:color w:val="1F2937"/>
                <w:sz w:val="16"/>
              </w:rPr>
              <w:t>When we read the legislature page, Bill 105 (Protecting Ontario's Workers and Economic Resilience Act, 2026) stood at Second Reading Ordered for Third Reading. Section 1 of its Schedule 1 would add to the Employment Standards Act, 2000 a rule that an employer shall not, directly or indirectly, require an employee to pay for a uniform, with exceptions such as damage beyond normal wear and tear. Schedule 1 says that section 1 comes into force on January 1, 2027, while the Bill's own commencement section sets Royal Assent unless otherwise provided.</w:t>
            </w:r>
          </w:p>
        </w:tc>
        <w:tc>
          <w:tcPr>
            <w:tcW w:type="dxa" w:w="1587"/>
          </w:tcPr>
          <w:p>
            <w:pPr>
              <w:spacing w:before="0" w:after="20" w:line="240" w:lineRule="auto"/>
            </w:pPr>
            <w:r>
              <w:rPr>
                <w:rFonts w:ascii="Calibri" w:hAnsi="Calibri" w:eastAsia="Calibri" w:cs="Calibri"/>
                <w:b w:val="0"/>
                <w:i w:val="0"/>
                <w:color w:val="1F2937"/>
                <w:sz w:val="15"/>
              </w:rPr>
              <w:t>Ontario Bill 105</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B13</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Canada</w:t>
            </w:r>
          </w:p>
          <w:p>
            <w:pPr>
              <w:spacing w:before="0" w:after="20" w:line="240" w:lineRule="auto"/>
            </w:pPr>
            <w:r>
              <w:rPr>
                <w:rFonts w:ascii="Calibri" w:hAnsi="Calibri" w:eastAsia="Calibri" w:cs="Calibri"/>
                <w:b w:val="0"/>
                <w:i w:val="0"/>
                <w:color w:val="1F2937"/>
                <w:sz w:val="16"/>
              </w:rPr>
              <w:t>Nova Scotia</w:t>
            </w:r>
          </w:p>
        </w:tc>
        <w:tc>
          <w:tcPr>
            <w:tcW w:type="dxa" w:w="2494"/>
          </w:tcPr>
          <w:p>
            <w:pPr>
              <w:spacing w:before="0" w:after="20" w:line="240" w:lineRule="auto"/>
            </w:pPr>
            <w:r>
              <w:rPr>
                <w:rFonts w:ascii="Calibri" w:hAnsi="Calibri" w:eastAsia="Calibri" w:cs="Calibri"/>
                <w:b/>
                <w:i w:val="0"/>
                <w:color w:val="1F2937"/>
                <w:sz w:val="16"/>
              </w:rPr>
              <w:t>Overtime threshold and tip handling</w:t>
            </w:r>
          </w:p>
          <w:p>
            <w:pPr>
              <w:spacing w:before="0" w:after="20" w:line="240" w:lineRule="auto"/>
            </w:pPr>
            <w:r>
              <w:rPr>
                <w:rFonts w:ascii="Calibri" w:hAnsi="Calibri" w:eastAsia="Calibri" w:cs="Calibri"/>
                <w:b w:val="0"/>
                <w:i w:val="0"/>
                <w:color w:val="555F6B"/>
                <w:sz w:val="15"/>
              </w:rPr>
              <w:t>Documents: Employee handbook; Payroll and pay policy</w:t>
            </w:r>
          </w:p>
        </w:tc>
        <w:tc>
          <w:tcPr>
            <w:tcW w:type="dxa" w:w="1361"/>
          </w:tcPr>
          <w:p>
            <w:pPr>
              <w:spacing w:before="0" w:after="20" w:line="240" w:lineRule="auto"/>
            </w:pPr>
            <w:r>
              <w:rPr>
                <w:rFonts w:ascii="Calibri" w:hAnsi="Calibri" w:eastAsia="Calibri" w:cs="Calibri"/>
                <w:b w:val="0"/>
                <w:i w:val="0"/>
                <w:color w:val="1F2937"/>
                <w:sz w:val="16"/>
              </w:rPr>
              <w:t>Apr 1, 2027</w:t>
            </w:r>
          </w:p>
        </w:tc>
        <w:tc>
          <w:tcPr>
            <w:tcW w:type="dxa" w:w="1247"/>
            <w:shd w:val="clear" w:color="auto" w:fill="EFEFEF"/>
          </w:tcPr>
          <w:p>
            <w:pPr>
              <w:spacing w:before="0" w:after="20" w:line="240" w:lineRule="auto"/>
            </w:pPr>
            <w:r>
              <w:rPr>
                <w:rFonts w:ascii="Calibri" w:hAnsi="Calibri" w:eastAsia="Calibri" w:cs="Calibri"/>
                <w:b/>
                <w:i w:val="0"/>
                <w:color w:val="1F2937"/>
                <w:sz w:val="16"/>
              </w:rPr>
              <w:t>Bill</w:t>
            </w:r>
          </w:p>
        </w:tc>
        <w:tc>
          <w:tcPr>
            <w:tcW w:type="dxa" w:w="4535"/>
          </w:tcPr>
          <w:p>
            <w:pPr>
              <w:spacing w:before="0" w:after="20" w:line="240" w:lineRule="auto"/>
            </w:pPr>
            <w:r>
              <w:rPr>
                <w:rFonts w:ascii="Calibri" w:hAnsi="Calibri" w:eastAsia="Calibri" w:cs="Calibri"/>
                <w:b w:val="0"/>
                <w:i w:val="0"/>
                <w:color w:val="1F2937"/>
                <w:sz w:val="16"/>
              </w:rPr>
              <w:t>Nova Scotia's September 8, 2026 release says legislation has been introduced to reduce the overtime threshold to 44 hours a week from 48 and to ensure tips and gratuities go to the people who earn them, with both changes taking effect April 1, 2027. It gives no bill number.</w:t>
            </w:r>
          </w:p>
        </w:tc>
        <w:tc>
          <w:tcPr>
            <w:tcW w:type="dxa" w:w="1587"/>
          </w:tcPr>
          <w:p>
            <w:pPr>
              <w:spacing w:before="0" w:after="20" w:line="240" w:lineRule="auto"/>
            </w:pPr>
            <w:r>
              <w:rPr>
                <w:rFonts w:ascii="Calibri" w:hAnsi="Calibri" w:eastAsia="Calibri" w:cs="Calibri"/>
                <w:b w:val="0"/>
                <w:i w:val="0"/>
                <w:color w:val="1F2937"/>
                <w:sz w:val="15"/>
              </w:rPr>
              <w:t>Nova Scotia release</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B14</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Australia</w:t>
            </w:r>
          </w:p>
        </w:tc>
        <w:tc>
          <w:tcPr>
            <w:tcW w:type="dxa" w:w="2494"/>
          </w:tcPr>
          <w:p>
            <w:pPr>
              <w:spacing w:before="0" w:after="20" w:line="240" w:lineRule="auto"/>
            </w:pPr>
            <w:r>
              <w:rPr>
                <w:rFonts w:ascii="Calibri" w:hAnsi="Calibri" w:eastAsia="Calibri" w:cs="Calibri"/>
                <w:b/>
                <w:i w:val="0"/>
                <w:color w:val="1F2937"/>
                <w:sz w:val="16"/>
              </w:rPr>
              <w:t>Non-compete clauses</w:t>
            </w:r>
          </w:p>
          <w:p>
            <w:pPr>
              <w:spacing w:before="0" w:after="20" w:line="240" w:lineRule="auto"/>
            </w:pPr>
            <w:r>
              <w:rPr>
                <w:rFonts w:ascii="Calibri" w:hAnsi="Calibri" w:eastAsia="Calibri" w:cs="Calibri"/>
                <w:b w:val="0"/>
                <w:i w:val="0"/>
                <w:color w:val="555F6B"/>
                <w:sz w:val="15"/>
              </w:rPr>
              <w:t>Documents: Employment contract template; Restrictive covenant agreement</w:t>
            </w:r>
          </w:p>
        </w:tc>
        <w:tc>
          <w:tcPr>
            <w:tcW w:type="dxa" w:w="1361"/>
          </w:tcPr>
          <w:p>
            <w:pPr>
              <w:spacing w:before="0" w:after="20" w:line="240" w:lineRule="auto"/>
            </w:pPr>
            <w:r>
              <w:rPr>
                <w:rFonts w:ascii="Calibri" w:hAnsi="Calibri" w:eastAsia="Calibri" w:cs="Calibri"/>
                <w:b w:val="0"/>
                <w:i w:val="0"/>
                <w:color w:val="1F2937"/>
                <w:sz w:val="16"/>
              </w:rPr>
              <w:t>No date; first Jan 1, Apr 1, Jul 1 or Oct 1 after Royal Assent</w:t>
            </w:r>
          </w:p>
        </w:tc>
        <w:tc>
          <w:tcPr>
            <w:tcW w:type="dxa" w:w="1247"/>
            <w:shd w:val="clear" w:color="auto" w:fill="EFEFEF"/>
          </w:tcPr>
          <w:p>
            <w:pPr>
              <w:spacing w:before="0" w:after="20" w:line="240" w:lineRule="auto"/>
            </w:pPr>
            <w:r>
              <w:rPr>
                <w:rFonts w:ascii="Calibri" w:hAnsi="Calibri" w:eastAsia="Calibri" w:cs="Calibri"/>
                <w:b/>
                <w:i w:val="0"/>
                <w:color w:val="1F2937"/>
                <w:sz w:val="16"/>
              </w:rPr>
              <w:t>Exposure draft</w:t>
            </w:r>
          </w:p>
        </w:tc>
        <w:tc>
          <w:tcPr>
            <w:tcW w:type="dxa" w:w="4535"/>
          </w:tcPr>
          <w:p>
            <w:pPr>
              <w:spacing w:before="0" w:after="20" w:line="240" w:lineRule="auto"/>
            </w:pPr>
            <w:r>
              <w:rPr>
                <w:rFonts w:ascii="Calibri" w:hAnsi="Calibri" w:eastAsia="Calibri" w:cs="Calibri"/>
                <w:b w:val="0"/>
                <w:i w:val="0"/>
                <w:color w:val="1F2937"/>
                <w:sz w:val="16"/>
              </w:rPr>
              <w:t>Treasury's exposure draft, dated September 3, 2026 and released with the minister's release of September 7, 2026, would ban non-compete terms below the high income threshold, which the release puts at $190,100 a year. Consultation closed October 2, 2026. None of the pages we read says the Bill has been introduced in Parliament.</w:t>
            </w:r>
          </w:p>
        </w:tc>
        <w:tc>
          <w:tcPr>
            <w:tcW w:type="dxa" w:w="1587"/>
          </w:tcPr>
          <w:p>
            <w:pPr>
              <w:spacing w:before="0" w:after="20" w:line="240" w:lineRule="auto"/>
            </w:pPr>
            <w:r>
              <w:rPr>
                <w:rFonts w:ascii="Calibri" w:hAnsi="Calibri" w:eastAsia="Calibri" w:cs="Calibri"/>
                <w:b w:val="0"/>
                <w:i w:val="0"/>
                <w:color w:val="1F2937"/>
                <w:sz w:val="15"/>
              </w:rPr>
              <w:t>Treasury exposure draft; Minister's release; Treasury consultation</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B15</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Australia</w:t>
            </w:r>
          </w:p>
        </w:tc>
        <w:tc>
          <w:tcPr>
            <w:tcW w:type="dxa" w:w="2494"/>
          </w:tcPr>
          <w:p>
            <w:pPr>
              <w:spacing w:before="0" w:after="20" w:line="240" w:lineRule="auto"/>
            </w:pPr>
            <w:r>
              <w:rPr>
                <w:rFonts w:ascii="Calibri" w:hAnsi="Calibri" w:eastAsia="Calibri" w:cs="Calibri"/>
                <w:b/>
                <w:i w:val="0"/>
                <w:color w:val="1F2937"/>
                <w:sz w:val="16"/>
              </w:rPr>
              <w:t>Award-linked pay rates from July 2027</w:t>
            </w:r>
          </w:p>
          <w:p>
            <w:pPr>
              <w:spacing w:before="0" w:after="20" w:line="240" w:lineRule="auto"/>
            </w:pPr>
            <w:r>
              <w:rPr>
                <w:rFonts w:ascii="Calibri" w:hAnsi="Calibri" w:eastAsia="Calibri" w:cs="Calibri"/>
                <w:b w:val="0"/>
                <w:i w:val="0"/>
                <w:color w:val="555F6B"/>
                <w:sz w:val="15"/>
              </w:rPr>
              <w:t>Documents: Employment contract template; Payroll and pay policy</w:t>
            </w:r>
          </w:p>
        </w:tc>
        <w:tc>
          <w:tcPr>
            <w:tcW w:type="dxa" w:w="1361"/>
          </w:tcPr>
          <w:p>
            <w:pPr>
              <w:spacing w:before="0" w:after="20" w:line="240" w:lineRule="auto"/>
            </w:pPr>
            <w:r>
              <w:rPr>
                <w:rFonts w:ascii="Calibri" w:hAnsi="Calibri" w:eastAsia="Calibri" w:cs="Calibri"/>
                <w:b w:val="0"/>
                <w:i w:val="0"/>
                <w:color w:val="1F2937"/>
                <w:sz w:val="16"/>
              </w:rPr>
              <w:t>Jul 1, 2027 by default</w:t>
            </w:r>
          </w:p>
        </w:tc>
        <w:tc>
          <w:tcPr>
            <w:tcW w:type="dxa" w:w="1247"/>
            <w:shd w:val="clear" w:color="auto" w:fill="EFEFEF"/>
          </w:tcPr>
          <w:p>
            <w:pPr>
              <w:spacing w:before="0" w:after="20" w:line="240" w:lineRule="auto"/>
            </w:pPr>
            <w:r>
              <w:rPr>
                <w:rFonts w:ascii="Calibri" w:hAnsi="Calibri" w:eastAsia="Calibri" w:cs="Calibri"/>
                <w:b/>
                <w:i w:val="0"/>
                <w:color w:val="1F2937"/>
                <w:sz w:val="16"/>
              </w:rPr>
              <w:t>Not yet decided</w:t>
            </w:r>
          </w:p>
        </w:tc>
        <w:tc>
          <w:tcPr>
            <w:tcW w:type="dxa" w:w="4535"/>
          </w:tcPr>
          <w:p>
            <w:pPr>
              <w:spacing w:before="0" w:after="20" w:line="240" w:lineRule="auto"/>
            </w:pPr>
            <w:r>
              <w:rPr>
                <w:rFonts w:ascii="Calibri" w:hAnsi="Calibri" w:eastAsia="Calibri" w:cs="Calibri"/>
                <w:b w:val="0"/>
                <w:i w:val="0"/>
                <w:color w:val="1F2937"/>
                <w:sz w:val="16"/>
              </w:rPr>
              <w:t>Under sections 286(1) and 287(1) of the Fair Work Act, annual wage review determinations varying modern awards and national minimum wage orders come into operation on July 1 in the next financial year. The 2027 review has not been decided.</w:t>
            </w:r>
          </w:p>
        </w:tc>
        <w:tc>
          <w:tcPr>
            <w:tcW w:type="dxa" w:w="1587"/>
          </w:tcPr>
          <w:p>
            <w:pPr>
              <w:spacing w:before="0" w:after="20" w:line="240" w:lineRule="auto"/>
            </w:pPr>
            <w:r>
              <w:rPr>
                <w:rFonts w:ascii="Calibri" w:hAnsi="Calibri" w:eastAsia="Calibri" w:cs="Calibri"/>
                <w:b w:val="0"/>
                <w:i w:val="0"/>
                <w:color w:val="1F2937"/>
                <w:sz w:val="15"/>
              </w:rPr>
              <w:t>Fair Work Act s.287</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B16</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Singapore</w:t>
            </w:r>
          </w:p>
        </w:tc>
        <w:tc>
          <w:tcPr>
            <w:tcW w:type="dxa" w:w="2494"/>
          </w:tcPr>
          <w:p>
            <w:pPr>
              <w:spacing w:before="0" w:after="20" w:line="240" w:lineRule="auto"/>
            </w:pPr>
            <w:r>
              <w:rPr>
                <w:rFonts w:ascii="Calibri" w:hAnsi="Calibri" w:eastAsia="Calibri" w:cs="Calibri"/>
                <w:b/>
                <w:i w:val="0"/>
                <w:color w:val="1F2937"/>
                <w:sz w:val="16"/>
              </w:rPr>
              <w:t>CPF contribution rates for older workers</w:t>
            </w:r>
          </w:p>
          <w:p>
            <w:pPr>
              <w:spacing w:before="0" w:after="20" w:line="240" w:lineRule="auto"/>
            </w:pPr>
            <w:r>
              <w:rPr>
                <w:rFonts w:ascii="Calibri" w:hAnsi="Calibri" w:eastAsia="Calibri" w:cs="Calibri"/>
                <w:b w:val="0"/>
                <w:i w:val="0"/>
                <w:color w:val="555F6B"/>
                <w:sz w:val="15"/>
              </w:rPr>
              <w:t>Documents: Offer or appointment letter; Payroll and pay policy</w:t>
            </w:r>
          </w:p>
        </w:tc>
        <w:tc>
          <w:tcPr>
            <w:tcW w:type="dxa" w:w="1361"/>
          </w:tcPr>
          <w:p>
            <w:pPr>
              <w:spacing w:before="0" w:after="20" w:line="240" w:lineRule="auto"/>
            </w:pPr>
            <w:r>
              <w:rPr>
                <w:rFonts w:ascii="Calibri" w:hAnsi="Calibri" w:eastAsia="Calibri" w:cs="Calibri"/>
                <w:b w:val="0"/>
                <w:i w:val="0"/>
                <w:color w:val="1F2937"/>
                <w:sz w:val="16"/>
              </w:rPr>
              <w:t>Wages earned from Jan 1, 2027</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The CPF Board page (updated June 16, 2026) says new rates apply to wages earned from January 1, 2027: a total rate of 35.5% (up 1.5 points; employer 16.5%, employee 19%) above age 55 to 60 and 26% (up 1 point; employer 13%, employee 13%) above 60 to 65, for employees earning above S$750 a month. The page says the graduated rates for first and second year Singapore Permanent Residents do not change, and it cites no Act or notification.</w:t>
            </w:r>
          </w:p>
        </w:tc>
        <w:tc>
          <w:tcPr>
            <w:tcW w:type="dxa" w:w="1587"/>
          </w:tcPr>
          <w:p>
            <w:pPr>
              <w:spacing w:before="0" w:after="20" w:line="240" w:lineRule="auto"/>
            </w:pPr>
            <w:r>
              <w:rPr>
                <w:rFonts w:ascii="Calibri" w:hAnsi="Calibri" w:eastAsia="Calibri" w:cs="Calibri"/>
                <w:b w:val="0"/>
                <w:i w:val="0"/>
                <w:color w:val="1F2937"/>
                <w:sz w:val="15"/>
              </w:rPr>
              <w:t>CPF Board</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B17</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Singapore</w:t>
            </w:r>
          </w:p>
        </w:tc>
        <w:tc>
          <w:tcPr>
            <w:tcW w:type="dxa" w:w="2494"/>
          </w:tcPr>
          <w:p>
            <w:pPr>
              <w:spacing w:before="0" w:after="20" w:line="240" w:lineRule="auto"/>
            </w:pPr>
            <w:r>
              <w:rPr>
                <w:rFonts w:ascii="Calibri" w:hAnsi="Calibri" w:eastAsia="Calibri" w:cs="Calibri"/>
                <w:b/>
                <w:i w:val="0"/>
                <w:color w:val="1F2937"/>
                <w:sz w:val="16"/>
              </w:rPr>
              <w:t>Salary offered to Employment Pass and S Pass holders</w:t>
            </w:r>
          </w:p>
          <w:p>
            <w:pPr>
              <w:spacing w:before="0" w:after="20" w:line="240" w:lineRule="auto"/>
            </w:pPr>
            <w:r>
              <w:rPr>
                <w:rFonts w:ascii="Calibri" w:hAnsi="Calibri" w:eastAsia="Calibri" w:cs="Calibri"/>
                <w:b w:val="0"/>
                <w:i w:val="0"/>
                <w:color w:val="555F6B"/>
                <w:sz w:val="15"/>
              </w:rPr>
              <w:t>Documents: Offer or appointment letter</w:t>
            </w:r>
          </w:p>
        </w:tc>
        <w:tc>
          <w:tcPr>
            <w:tcW w:type="dxa" w:w="1361"/>
          </w:tcPr>
          <w:p>
            <w:pPr>
              <w:spacing w:before="0" w:after="20" w:line="240" w:lineRule="auto"/>
            </w:pPr>
            <w:r>
              <w:rPr>
                <w:rFonts w:ascii="Calibri" w:hAnsi="Calibri" w:eastAsia="Calibri" w:cs="Calibri"/>
                <w:b w:val="0"/>
                <w:i w:val="0"/>
                <w:color w:val="1F2937"/>
                <w:sz w:val="16"/>
              </w:rPr>
              <w:t>New applications from Jan 1, 2027</w:t>
            </w:r>
          </w:p>
        </w:tc>
        <w:tc>
          <w:tcPr>
            <w:tcW w:type="dxa" w:w="1247"/>
            <w:shd w:val="clear" w:color="auto" w:fill="EFEFEF"/>
          </w:tcPr>
          <w:p>
            <w:pPr>
              <w:spacing w:before="0" w:after="20" w:line="240" w:lineRule="auto"/>
            </w:pPr>
            <w:r>
              <w:rPr>
                <w:rFonts w:ascii="Calibri" w:hAnsi="Calibri" w:eastAsia="Calibri" w:cs="Calibri"/>
                <w:b/>
                <w:i w:val="0"/>
                <w:color w:val="1F2937"/>
                <w:sz w:val="16"/>
              </w:rPr>
              <w:t>Announced</w:t>
            </w:r>
          </w:p>
        </w:tc>
        <w:tc>
          <w:tcPr>
            <w:tcW w:type="dxa" w:w="4535"/>
          </w:tcPr>
          <w:p>
            <w:pPr>
              <w:spacing w:before="0" w:after="20" w:line="240" w:lineRule="auto"/>
            </w:pPr>
            <w:r>
              <w:rPr>
                <w:rFonts w:ascii="Calibri" w:hAnsi="Calibri" w:eastAsia="Calibri" w:cs="Calibri"/>
                <w:b w:val="0"/>
                <w:i w:val="0"/>
                <w:color w:val="1F2937"/>
                <w:sz w:val="16"/>
              </w:rPr>
              <w:t>MOM's pages show the minimum qualifying salary for new applications from January 1, 2027 as S$6,000 for the Employment Pass (S$6,600 in financial services) and S$3,600 for the S Pass (S$4,000 in financial services), rising with age. Renewals of passes expiring from January 1, 2028 follow the new level.</w:t>
            </w:r>
          </w:p>
        </w:tc>
        <w:tc>
          <w:tcPr>
            <w:tcW w:type="dxa" w:w="1587"/>
          </w:tcPr>
          <w:p>
            <w:pPr>
              <w:spacing w:before="0" w:after="20" w:line="240" w:lineRule="auto"/>
            </w:pPr>
            <w:r>
              <w:rPr>
                <w:rFonts w:ascii="Calibri" w:hAnsi="Calibri" w:eastAsia="Calibri" w:cs="Calibri"/>
                <w:b w:val="0"/>
                <w:i w:val="0"/>
                <w:color w:val="1F2937"/>
                <w:sz w:val="15"/>
              </w:rPr>
              <w:t>MOM Employment Pass; MOM S Pass</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B18</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Singapore</w:t>
            </w:r>
          </w:p>
        </w:tc>
        <w:tc>
          <w:tcPr>
            <w:tcW w:type="dxa" w:w="2494"/>
          </w:tcPr>
          <w:p>
            <w:pPr>
              <w:spacing w:before="0" w:after="20" w:line="240" w:lineRule="auto"/>
            </w:pPr>
            <w:r>
              <w:rPr>
                <w:rFonts w:ascii="Calibri" w:hAnsi="Calibri" w:eastAsia="Calibri" w:cs="Calibri"/>
                <w:b/>
                <w:i w:val="0"/>
                <w:color w:val="1F2937"/>
                <w:sz w:val="16"/>
              </w:rPr>
              <w:t>Grievance handling process</w:t>
            </w:r>
          </w:p>
          <w:p>
            <w:pPr>
              <w:spacing w:before="0" w:after="20" w:line="240" w:lineRule="auto"/>
            </w:pPr>
            <w:r>
              <w:rPr>
                <w:rFonts w:ascii="Calibri" w:hAnsi="Calibri" w:eastAsia="Calibri" w:cs="Calibri"/>
                <w:b w:val="0"/>
                <w:i w:val="0"/>
                <w:color w:val="555F6B"/>
                <w:sz w:val="15"/>
              </w:rPr>
              <w:t>Documents: Disciplinary and grievance procedure; Employee handbook</w:t>
            </w:r>
          </w:p>
        </w:tc>
        <w:tc>
          <w:tcPr>
            <w:tcW w:type="dxa" w:w="1361"/>
          </w:tcPr>
          <w:p>
            <w:pPr>
              <w:spacing w:before="0" w:after="20" w:line="240" w:lineRule="auto"/>
            </w:pPr>
            <w:r>
              <w:rPr>
                <w:rFonts w:ascii="Calibri" w:hAnsi="Calibri" w:eastAsia="Calibri" w:cs="Calibri"/>
                <w:b w:val="0"/>
                <w:i w:val="0"/>
                <w:color w:val="1F2937"/>
                <w:sz w:val="16"/>
              </w:rPr>
              <w:t>End-2027</w:t>
            </w:r>
          </w:p>
        </w:tc>
        <w:tc>
          <w:tcPr>
            <w:tcW w:type="dxa" w:w="1247"/>
            <w:shd w:val="clear" w:color="auto" w:fill="FCE4D6"/>
          </w:tcPr>
          <w:p>
            <w:pPr>
              <w:spacing w:before="0" w:after="20" w:line="240" w:lineRule="auto"/>
            </w:pPr>
            <w:r>
              <w:rPr>
                <w:rFonts w:ascii="Calibri" w:hAnsi="Calibri" w:eastAsia="Calibri" w:cs="Calibri"/>
                <w:b/>
                <w:i w:val="0"/>
                <w:color w:val="1F2937"/>
                <w:sz w:val="16"/>
              </w:rPr>
              <w:t>Enacted, details unconfirmed</w:t>
            </w:r>
          </w:p>
        </w:tc>
        <w:tc>
          <w:tcPr>
            <w:tcW w:type="dxa" w:w="4535"/>
          </w:tcPr>
          <w:p>
            <w:pPr>
              <w:spacing w:before="0" w:after="20" w:line="240" w:lineRule="auto"/>
            </w:pPr>
            <w:r>
              <w:rPr>
                <w:rFonts w:ascii="Calibri" w:hAnsi="Calibri" w:eastAsia="Calibri" w:cs="Calibri"/>
                <w:b w:val="0"/>
                <w:i w:val="0"/>
                <w:color w:val="1F2937"/>
                <w:sz w:val="16"/>
              </w:rPr>
              <w:t>MOM's written answer of October 7, 2026 says the Workplace Fairness Act, already enacted, will be implemented in end-2027, and that employers will be required to put in place internal grievance handling processes.</w:t>
            </w:r>
          </w:p>
        </w:tc>
        <w:tc>
          <w:tcPr>
            <w:tcW w:type="dxa" w:w="1587"/>
          </w:tcPr>
          <w:p>
            <w:pPr>
              <w:spacing w:before="0" w:after="20" w:line="240" w:lineRule="auto"/>
            </w:pPr>
            <w:r>
              <w:rPr>
                <w:rFonts w:ascii="Calibri" w:hAnsi="Calibri" w:eastAsia="Calibri" w:cs="Calibri"/>
                <w:b w:val="0"/>
                <w:i w:val="0"/>
                <w:color w:val="1F2937"/>
                <w:sz w:val="15"/>
              </w:rPr>
              <w:t>MOM written answer</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B19</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Germany</w:t>
            </w:r>
          </w:p>
        </w:tc>
        <w:tc>
          <w:tcPr>
            <w:tcW w:type="dxa" w:w="2494"/>
          </w:tcPr>
          <w:p>
            <w:pPr>
              <w:spacing w:before="0" w:after="20" w:line="240" w:lineRule="auto"/>
            </w:pPr>
            <w:r>
              <w:rPr>
                <w:rFonts w:ascii="Calibri" w:hAnsi="Calibri" w:eastAsia="Calibri" w:cs="Calibri"/>
                <w:b/>
                <w:i w:val="0"/>
                <w:color w:val="1F2937"/>
                <w:sz w:val="16"/>
              </w:rPr>
              <w:t>Pay disclosure clauses (EU pay transparency law)</w:t>
            </w:r>
          </w:p>
          <w:p>
            <w:pPr>
              <w:spacing w:before="0" w:after="20" w:line="240" w:lineRule="auto"/>
            </w:pPr>
            <w:r>
              <w:rPr>
                <w:rFonts w:ascii="Calibri" w:hAnsi="Calibri" w:eastAsia="Calibri" w:cs="Calibri"/>
                <w:b w:val="0"/>
                <w:i w:val="0"/>
                <w:color w:val="555F6B"/>
                <w:sz w:val="15"/>
              </w:rPr>
              <w:t>Documents: Employment contract template</w:t>
            </w:r>
          </w:p>
        </w:tc>
        <w:tc>
          <w:tcPr>
            <w:tcW w:type="dxa" w:w="1361"/>
          </w:tcPr>
          <w:p>
            <w:pPr>
              <w:spacing w:before="0" w:after="20" w:line="240" w:lineRule="auto"/>
            </w:pPr>
            <w:r>
              <w:rPr>
                <w:rFonts w:ascii="Calibri" w:hAnsi="Calibri" w:eastAsia="Calibri" w:cs="Calibri"/>
                <w:b w:val="0"/>
                <w:i w:val="0"/>
                <w:color w:val="1F2937"/>
                <w:sz w:val="16"/>
              </w:rPr>
              <w:t>No date</w:t>
            </w:r>
          </w:p>
        </w:tc>
        <w:tc>
          <w:tcPr>
            <w:tcW w:type="dxa" w:w="1247"/>
            <w:shd w:val="clear" w:color="auto" w:fill="EFEFEF"/>
          </w:tcPr>
          <w:p>
            <w:pPr>
              <w:spacing w:before="0" w:after="20" w:line="240" w:lineRule="auto"/>
            </w:pPr>
            <w:r>
              <w:rPr>
                <w:rFonts w:ascii="Calibri" w:hAnsi="Calibri" w:eastAsia="Calibri" w:cs="Calibri"/>
                <w:b/>
                <w:i w:val="0"/>
                <w:color w:val="1F2937"/>
                <w:sz w:val="16"/>
              </w:rPr>
              <w:t>Not yet decided</w:t>
            </w:r>
          </w:p>
        </w:tc>
        <w:tc>
          <w:tcPr>
            <w:tcW w:type="dxa" w:w="4535"/>
          </w:tcPr>
          <w:p>
            <w:pPr>
              <w:spacing w:before="0" w:after="20" w:line="240" w:lineRule="auto"/>
            </w:pPr>
            <w:r>
              <w:rPr>
                <w:rFonts w:ascii="Calibri" w:hAnsi="Calibri" w:eastAsia="Calibri" w:cs="Calibri"/>
                <w:b w:val="0"/>
                <w:i w:val="0"/>
                <w:color w:val="1F2937"/>
                <w:sz w:val="16"/>
              </w:rPr>
              <w:t>Bundestag Drucksache 21/7026 (July 8, 2026) says the family ministry has made the preparations for a draft bill implementing the EU Pay Transparency Directive and that the legislative procedure is to start afterward. It gives no dates.</w:t>
            </w:r>
          </w:p>
        </w:tc>
        <w:tc>
          <w:tcPr>
            <w:tcW w:type="dxa" w:w="1587"/>
          </w:tcPr>
          <w:p>
            <w:pPr>
              <w:spacing w:before="0" w:after="20" w:line="240" w:lineRule="auto"/>
            </w:pPr>
            <w:r>
              <w:rPr>
                <w:rFonts w:ascii="Calibri" w:hAnsi="Calibri" w:eastAsia="Calibri" w:cs="Calibri"/>
                <w:b w:val="0"/>
                <w:i w:val="0"/>
                <w:color w:val="1F2937"/>
                <w:sz w:val="15"/>
              </w:rPr>
              <w:t>Bundestag 21/7026</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B20</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UAE</w:t>
            </w:r>
          </w:p>
        </w:tc>
        <w:tc>
          <w:tcPr>
            <w:tcW w:type="dxa" w:w="2494"/>
          </w:tcPr>
          <w:p>
            <w:pPr>
              <w:spacing w:before="0" w:after="20" w:line="240" w:lineRule="auto"/>
            </w:pPr>
            <w:r>
              <w:rPr>
                <w:rFonts w:ascii="Calibri" w:hAnsi="Calibri" w:eastAsia="Calibri" w:cs="Calibri"/>
                <w:b/>
                <w:i w:val="0"/>
                <w:color w:val="1F2937"/>
                <w:sz w:val="16"/>
              </w:rPr>
              <w:t>Wage payment dates and transfers</w:t>
            </w:r>
          </w:p>
          <w:p>
            <w:pPr>
              <w:spacing w:before="0" w:after="20" w:line="240" w:lineRule="auto"/>
            </w:pPr>
            <w:r>
              <w:rPr>
                <w:rFonts w:ascii="Calibri" w:hAnsi="Calibri" w:eastAsia="Calibri" w:cs="Calibri"/>
                <w:b w:val="0"/>
                <w:i w:val="0"/>
                <w:color w:val="555F6B"/>
                <w:sz w:val="15"/>
              </w:rPr>
              <w:t>Documents: Payroll and pay policy</w:t>
            </w:r>
          </w:p>
        </w:tc>
        <w:tc>
          <w:tcPr>
            <w:tcW w:type="dxa" w:w="1361"/>
          </w:tcPr>
          <w:p>
            <w:pPr>
              <w:spacing w:before="0" w:after="20" w:line="240" w:lineRule="auto"/>
            </w:pPr>
            <w:r>
              <w:rPr>
                <w:rFonts w:ascii="Calibri" w:hAnsi="Calibri" w:eastAsia="Calibri" w:cs="Calibri"/>
                <w:b w:val="0"/>
                <w:i w:val="0"/>
                <w:color w:val="1F2937"/>
                <w:sz w:val="16"/>
              </w:rPr>
              <w:t>No start date on the page</w:t>
            </w:r>
          </w:p>
        </w:tc>
        <w:tc>
          <w:tcPr>
            <w:tcW w:type="dxa" w:w="1247"/>
            <w:shd w:val="clear" w:color="auto" w:fill="FCE4D6"/>
          </w:tcPr>
          <w:p>
            <w:pPr>
              <w:spacing w:before="0" w:after="20" w:line="240" w:lineRule="auto"/>
            </w:pPr>
            <w:r>
              <w:rPr>
                <w:rFonts w:ascii="Calibri" w:hAnsi="Calibri" w:eastAsia="Calibri" w:cs="Calibri"/>
                <w:b/>
                <w:i w:val="0"/>
                <w:color w:val="1F2937"/>
                <w:sz w:val="16"/>
              </w:rPr>
              <w:t>Enacted, details unconfirmed</w:t>
            </w:r>
          </w:p>
        </w:tc>
        <w:tc>
          <w:tcPr>
            <w:tcW w:type="dxa" w:w="4535"/>
          </w:tcPr>
          <w:p>
            <w:pPr>
              <w:spacing w:before="0" w:after="20" w:line="240" w:lineRule="auto"/>
            </w:pPr>
            <w:r>
              <w:rPr>
                <w:rFonts w:ascii="Calibri" w:hAnsi="Calibri" w:eastAsia="Calibri" w:cs="Calibri"/>
                <w:b w:val="0"/>
                <w:i w:val="0"/>
                <w:color w:val="1F2937"/>
                <w:sz w:val="16"/>
              </w:rPr>
              <w:t>The u.ae payment of wages page (updated October 14, 2026) cites Ministerial Resolution No. 340 of 2026 on the Wage Protection System and gives no start date. The page also says wages are due on the first day of each month and that employers must transfer at least 85 per cent of wages due on time. We could not tell whether those points come from this resolution.</w:t>
            </w:r>
          </w:p>
        </w:tc>
        <w:tc>
          <w:tcPr>
            <w:tcW w:type="dxa" w:w="1587"/>
          </w:tcPr>
          <w:p>
            <w:pPr>
              <w:spacing w:before="0" w:after="20" w:line="240" w:lineRule="auto"/>
            </w:pPr>
            <w:r>
              <w:rPr>
                <w:rFonts w:ascii="Calibri" w:hAnsi="Calibri" w:eastAsia="Calibri" w:cs="Calibri"/>
                <w:b w:val="0"/>
                <w:i w:val="0"/>
                <w:color w:val="1F2937"/>
                <w:sz w:val="15"/>
              </w:rPr>
              <w:t>u.ae payment of wages</w:t>
            </w:r>
          </w:p>
        </w:tc>
        <w:tc>
          <w:tcPr>
            <w:tcW w:type="dxa" w:w="1134"/>
          </w:tcPr>
          <w:p>
            <w:pPr>
              <w:spacing w:before="0" w:after="20" w:line="240" w:lineRule="auto"/>
            </w:pPr>
          </w:p>
        </w:tc>
        <w:tc>
          <w:tcPr>
            <w:tcW w:type="dxa" w:w="1134"/>
          </w:tcPr>
          <w:p>
            <w:pPr>
              <w:spacing w:before="0" w:after="20" w:line="240" w:lineRule="auto"/>
            </w:pPr>
          </w:p>
        </w:tc>
      </w:tr>
      <w:tr>
        <w:trPr>
          <w:cantSplit w:val="true"/>
        </w:trPr>
        <w:tc>
          <w:tcPr>
            <w:tcW w:type="dxa" w:w="794"/>
          </w:tcPr>
          <w:p>
            <w:pPr>
              <w:spacing w:before="0" w:after="20" w:line="240" w:lineRule="auto"/>
            </w:pPr>
            <w:r>
              <w:rPr>
                <w:rFonts w:ascii="Calibri" w:hAnsi="Calibri" w:eastAsia="Calibri" w:cs="Calibri"/>
                <w:b/>
                <w:i w:val="0"/>
                <w:color w:val="1F2937"/>
                <w:sz w:val="16"/>
              </w:rPr>
              <w:t>B21</w:t>
            </w:r>
          </w:p>
          <w:p>
            <w:pPr>
              <w:spacing w:before="0" w:after="0" w:line="240" w:lineRule="auto"/>
            </w:pPr>
            <w:r>
              <w:rPr>
                <w:rFonts w:ascii="Segoe UI Symbol" w:hAnsi="Segoe UI Symbol" w:eastAsia="Segoe UI Symbol" w:cs="Segoe UI Symbol"/>
                <w:b w:val="0"/>
                <w:color w:val="1F2937"/>
                <w:sz w:val="24"/>
              </w:rPr>
              <w:t>☐</w:t>
            </w:r>
          </w:p>
        </w:tc>
        <w:tc>
          <w:tcPr>
            <w:tcW w:type="dxa" w:w="1417"/>
          </w:tcPr>
          <w:p>
            <w:pPr>
              <w:spacing w:before="0" w:after="20" w:line="240" w:lineRule="auto"/>
            </w:pPr>
            <w:r>
              <w:rPr>
                <w:rFonts w:ascii="Calibri" w:hAnsi="Calibri" w:eastAsia="Calibri" w:cs="Calibri"/>
                <w:b/>
                <w:i w:val="0"/>
                <w:color w:val="1F2937"/>
                <w:sz w:val="16"/>
              </w:rPr>
              <w:t>India</w:t>
            </w:r>
          </w:p>
        </w:tc>
        <w:tc>
          <w:tcPr>
            <w:tcW w:type="dxa" w:w="2494"/>
          </w:tcPr>
          <w:p>
            <w:pPr>
              <w:spacing w:before="0" w:after="20" w:line="240" w:lineRule="auto"/>
            </w:pPr>
            <w:r>
              <w:rPr>
                <w:rFonts w:ascii="Calibri" w:hAnsi="Calibri" w:eastAsia="Calibri" w:cs="Calibri"/>
                <w:b/>
                <w:i w:val="0"/>
                <w:color w:val="1F2937"/>
                <w:sz w:val="16"/>
              </w:rPr>
              <w:t>Standing orders</w:t>
            </w:r>
          </w:p>
          <w:p>
            <w:pPr>
              <w:spacing w:before="0" w:after="20" w:line="240" w:lineRule="auto"/>
            </w:pPr>
            <w:r>
              <w:rPr>
                <w:rFonts w:ascii="Calibri" w:hAnsi="Calibri" w:eastAsia="Calibri" w:cs="Calibri"/>
                <w:b w:val="0"/>
                <w:i w:val="0"/>
                <w:color w:val="555F6B"/>
                <w:sz w:val="15"/>
              </w:rPr>
              <w:t>Documents: Employee handbook</w:t>
            </w:r>
          </w:p>
        </w:tc>
        <w:tc>
          <w:tcPr>
            <w:tcW w:type="dxa" w:w="1361"/>
          </w:tcPr>
          <w:p>
            <w:pPr>
              <w:spacing w:before="0" w:after="20" w:line="240" w:lineRule="auto"/>
            </w:pPr>
            <w:r>
              <w:rPr>
                <w:rFonts w:ascii="Calibri" w:hAnsi="Calibri" w:eastAsia="Calibri" w:cs="Calibri"/>
                <w:b w:val="0"/>
                <w:i w:val="0"/>
                <w:color w:val="1F2937"/>
                <w:sz w:val="16"/>
              </w:rPr>
              <w:t>No date</w:t>
            </w:r>
          </w:p>
        </w:tc>
        <w:tc>
          <w:tcPr>
            <w:tcW w:type="dxa" w:w="1247"/>
            <w:shd w:val="clear" w:color="auto" w:fill="FCE4D6"/>
          </w:tcPr>
          <w:p>
            <w:pPr>
              <w:spacing w:before="0" w:after="20" w:line="240" w:lineRule="auto"/>
            </w:pPr>
            <w:r>
              <w:rPr>
                <w:rFonts w:ascii="Calibri" w:hAnsi="Calibri" w:eastAsia="Calibri" w:cs="Calibri"/>
                <w:b/>
                <w:i w:val="0"/>
                <w:color w:val="1F2937"/>
                <w:sz w:val="16"/>
              </w:rPr>
              <w:t>Enacted, details unconfirmed</w:t>
            </w:r>
          </w:p>
        </w:tc>
        <w:tc>
          <w:tcPr>
            <w:tcW w:type="dxa" w:w="4535"/>
          </w:tcPr>
          <w:p>
            <w:pPr>
              <w:spacing w:before="0" w:after="20" w:line="240" w:lineRule="auto"/>
            </w:pPr>
            <w:r>
              <w:rPr>
                <w:rFonts w:ascii="Calibri" w:hAnsi="Calibri" w:eastAsia="Calibri" w:cs="Calibri"/>
                <w:b w:val="0"/>
                <w:i w:val="0"/>
                <w:color w:val="1F2937"/>
                <w:sz w:val="16"/>
              </w:rPr>
              <w:t>Rule 1(2) of the Industrial Relations (Central) Rules, 2026 (G.S.R. 342(E), May 8, 2026) says they come into force on the date of their publication in the Official Gazette. Rule 10 covers industrial establishments in the mine, manufacturing and service sectors and refers to the Model Standing Orders, 2026. An employer that adopts them informs the certifying officer, and they are deemed certified if no observation is made within thirty days. The copy we read does not contain the model's text.</w:t>
            </w:r>
          </w:p>
        </w:tc>
        <w:tc>
          <w:tcPr>
            <w:tcW w:type="dxa" w:w="1587"/>
          </w:tcPr>
          <w:p>
            <w:pPr>
              <w:spacing w:before="0" w:after="20" w:line="240" w:lineRule="auto"/>
            </w:pPr>
            <w:r>
              <w:rPr>
                <w:rFonts w:ascii="Calibri" w:hAnsi="Calibri" w:eastAsia="Calibri" w:cs="Calibri"/>
                <w:b w:val="0"/>
                <w:i w:val="0"/>
                <w:color w:val="1F2937"/>
                <w:sz w:val="15"/>
              </w:rPr>
              <w:t>IR Central Rules</w:t>
            </w:r>
          </w:p>
        </w:tc>
        <w:tc>
          <w:tcPr>
            <w:tcW w:type="dxa" w:w="1134"/>
          </w:tcPr>
          <w:p>
            <w:pPr>
              <w:spacing w:before="0" w:after="20" w:line="240" w:lineRule="auto"/>
            </w:pPr>
          </w:p>
        </w:tc>
        <w:tc>
          <w:tcPr>
            <w:tcW w:type="dxa" w:w="1134"/>
          </w:tcPr>
          <w:p>
            <w:pPr>
              <w:spacing w:before="0" w:after="20" w:line="240" w:lineRule="auto"/>
            </w:pPr>
          </w:p>
        </w:tc>
      </w:tr>
    </w:tbl>
    <w:p>
      <w:r>
        <w:br w:type="page"/>
      </w:r>
    </w:p>
    <w:p>
      <w:pPr>
        <w:keepNext/>
        <w:spacing w:before="0" w:after="60" w:line="240" w:lineRule="auto"/>
      </w:pPr>
      <w:r>
        <w:rPr>
          <w:rFonts w:ascii="Calibri" w:hAnsi="Calibri" w:eastAsia="Calibri" w:cs="Calibri"/>
          <w:b/>
          <w:i w:val="0"/>
          <w:color w:val="1F2937"/>
          <w:sz w:val="28"/>
        </w:rPr>
        <w:t>Document inventory</w:t>
      </w:r>
    </w:p>
    <w:p>
      <w:pPr>
        <w:spacing w:before="0" w:after="80" w:line="240" w:lineRule="auto"/>
      </w:pPr>
      <w:r>
        <w:rPr>
          <w:rFonts w:ascii="Calibri" w:hAnsi="Calibri" w:eastAsia="Calibri" w:cs="Calibri"/>
          <w:b w:val="0"/>
          <w:i w:val="0"/>
          <w:color w:val="555F6B"/>
          <w:sz w:val="18"/>
        </w:rPr>
        <w:t>List each version of each document you use, with the jurisdictions it covers. The first column holds the document types named in the rows above.</w:t>
      </w:r>
    </w:p>
    <w:tbl>
      <w:tblPr>
        <w:tblStyle w:val="TableGrid"/>
        <w:tblW w:type="auto" w:w="0"/>
        <w:tblLayout w:type="fixed"/>
        <w:tblCellMar>
          <w:top w:w="70" w:type="dxa"/>
          <w:left w:w="60" w:type="dxa"/>
          <w:bottom w:w="70" w:type="dxa"/>
          <w:right w:w="60" w:type="dxa"/>
        </w:tblCellMar>
        <w:tblLook w:firstColumn="1" w:firstRow="1" w:lastColumn="0" w:lastRow="0" w:noHBand="0" w:noVBand="1" w:val="04A0"/>
      </w:tblPr>
      <w:tblGrid>
        <w:gridCol w:w="1247"/>
        <w:gridCol w:w="3514"/>
        <w:gridCol w:w="3514"/>
        <w:gridCol w:w="2154"/>
        <w:gridCol w:w="1757"/>
        <w:gridCol w:w="1757"/>
        <w:gridCol w:w="1757"/>
      </w:tblGrid>
      <w:tr>
        <w:trPr>
          <w:tblHeader w:val="true"/>
        </w:trPr>
        <w:tc>
          <w:tcPr>
            <w:tcW w:type="dxa" w:w="1247"/>
            <w:shd w:val="clear" w:color="auto" w:fill="DCE6F1"/>
          </w:tcPr>
          <w:p>
            <w:pPr>
              <w:spacing w:before="0" w:after="20" w:line="240" w:lineRule="auto"/>
            </w:pPr>
            <w:r>
              <w:rPr>
                <w:rFonts w:ascii="Segoe UI Symbol" w:hAnsi="Segoe UI Symbol" w:eastAsia="Segoe UI Symbol" w:cs="Segoe UI Symbol"/>
                <w:b w:val="0"/>
                <w:color w:val="1F2937"/>
                <w:sz w:val="19"/>
              </w:rPr>
              <w:t>☐</w:t>
            </w:r>
            <w:r>
              <w:rPr>
                <w:rFonts w:ascii="Calibri" w:hAnsi="Calibri" w:eastAsia="Calibri" w:cs="Calibri"/>
                <w:b/>
                <w:i w:val="0"/>
                <w:color w:val="1F2937"/>
                <w:sz w:val="17"/>
              </w:rPr>
              <w:t xml:space="preserve"> Checked</w:t>
            </w:r>
          </w:p>
        </w:tc>
        <w:tc>
          <w:tcPr>
            <w:tcW w:type="dxa" w:w="3515"/>
            <w:shd w:val="clear" w:color="auto" w:fill="DCE6F1"/>
          </w:tcPr>
          <w:p>
            <w:pPr>
              <w:spacing w:before="0" w:after="20" w:line="240" w:lineRule="auto"/>
            </w:pPr>
            <w:r>
              <w:rPr>
                <w:rFonts w:ascii="Calibri" w:hAnsi="Calibri" w:eastAsia="Calibri" w:cs="Calibri"/>
                <w:b/>
                <w:i w:val="0"/>
                <w:color w:val="1F2937"/>
                <w:sz w:val="17"/>
              </w:rPr>
              <w:t>Document type</w:t>
            </w:r>
          </w:p>
        </w:tc>
        <w:tc>
          <w:tcPr>
            <w:tcW w:type="dxa" w:w="3515"/>
            <w:shd w:val="clear" w:color="auto" w:fill="DCE6F1"/>
          </w:tcPr>
          <w:p>
            <w:pPr>
              <w:spacing w:before="0" w:after="20" w:line="240" w:lineRule="auto"/>
            </w:pPr>
            <w:r>
              <w:rPr>
                <w:rFonts w:ascii="Calibri" w:hAnsi="Calibri" w:eastAsia="Calibri" w:cs="Calibri"/>
                <w:b/>
                <w:i w:val="0"/>
                <w:color w:val="1F2937"/>
                <w:sz w:val="17"/>
              </w:rPr>
              <w:t>Jurisdictions it covers</w:t>
            </w:r>
          </w:p>
        </w:tc>
        <w:tc>
          <w:tcPr>
            <w:tcW w:type="dxa" w:w="2154"/>
            <w:shd w:val="clear" w:color="auto" w:fill="DCE6F1"/>
          </w:tcPr>
          <w:p>
            <w:pPr>
              <w:spacing w:before="0" w:after="20" w:line="240" w:lineRule="auto"/>
            </w:pPr>
            <w:r>
              <w:rPr>
                <w:rFonts w:ascii="Calibri" w:hAnsi="Calibri" w:eastAsia="Calibri" w:cs="Calibri"/>
                <w:b/>
                <w:i w:val="0"/>
                <w:color w:val="1F2937"/>
                <w:sz w:val="17"/>
              </w:rPr>
              <w:t>Owner</w:t>
            </w:r>
          </w:p>
        </w:tc>
        <w:tc>
          <w:tcPr>
            <w:tcW w:type="dxa" w:w="1757"/>
            <w:shd w:val="clear" w:color="auto" w:fill="DCE6F1"/>
          </w:tcPr>
          <w:p>
            <w:pPr>
              <w:spacing w:before="0" w:after="20" w:line="240" w:lineRule="auto"/>
            </w:pPr>
            <w:r>
              <w:rPr>
                <w:rFonts w:ascii="Calibri" w:hAnsi="Calibri" w:eastAsia="Calibri" w:cs="Calibri"/>
                <w:b/>
                <w:i w:val="0"/>
                <w:color w:val="1F2937"/>
                <w:sz w:val="17"/>
              </w:rPr>
              <w:t>Version or date</w:t>
            </w:r>
          </w:p>
        </w:tc>
        <w:tc>
          <w:tcPr>
            <w:tcW w:type="dxa" w:w="1757"/>
            <w:shd w:val="clear" w:color="auto" w:fill="DCE6F1"/>
          </w:tcPr>
          <w:p>
            <w:pPr>
              <w:spacing w:before="0" w:after="20" w:line="240" w:lineRule="auto"/>
            </w:pPr>
            <w:r>
              <w:rPr>
                <w:rFonts w:ascii="Calibri" w:hAnsi="Calibri" w:eastAsia="Calibri" w:cs="Calibri"/>
                <w:b/>
                <w:i w:val="0"/>
                <w:color w:val="1F2937"/>
                <w:sz w:val="17"/>
              </w:rPr>
              <w:t>Last reviewed</w:t>
            </w:r>
          </w:p>
        </w:tc>
        <w:tc>
          <w:tcPr>
            <w:tcW w:type="dxa" w:w="1757"/>
            <w:shd w:val="clear" w:color="auto" w:fill="DCE6F1"/>
          </w:tcPr>
          <w:p>
            <w:pPr>
              <w:spacing w:before="0" w:after="20" w:line="240" w:lineRule="auto"/>
            </w:pPr>
            <w:r>
              <w:rPr>
                <w:rFonts w:ascii="Calibri" w:hAnsi="Calibri" w:eastAsia="Calibri" w:cs="Calibri"/>
                <w:b/>
                <w:i w:val="0"/>
                <w:color w:val="1F2937"/>
                <w:sz w:val="17"/>
              </w:rPr>
              <w:t>Next review</w:t>
            </w: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Employment contract template</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Offer or appointment letter</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Employee handbook</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Restrictive covenant agreement</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Job posting template</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Payroll and pay policy</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Leave policy</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Disciplinary and grievance procedure</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AI, hiring and HR technology policy</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Privacy notice (employees and candidates)</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r>
        <w:trPr>
          <w:cantSplit w:val="true"/>
        </w:trPr>
        <w:tc>
          <w:tcPr>
            <w:tcW w:type="dxa" w:w="1247"/>
          </w:tcPr>
          <w:p>
            <w:pPr>
              <w:spacing w:before="0" w:after="20" w:line="240" w:lineRule="auto"/>
            </w:pPr>
            <w:r>
              <w:rPr>
                <w:rFonts w:ascii="Segoe UI Symbol" w:hAnsi="Segoe UI Symbol" w:eastAsia="Segoe UI Symbol" w:cs="Segoe UI Symbol"/>
                <w:b w:val="0"/>
                <w:color w:val="1F2937"/>
                <w:sz w:val="20"/>
              </w:rPr>
              <w:t>☐</w:t>
            </w:r>
          </w:p>
        </w:tc>
        <w:tc>
          <w:tcPr>
            <w:tcW w:type="dxa" w:w="3515"/>
          </w:tcPr>
          <w:p>
            <w:pPr>
              <w:spacing w:before="0" w:after="20" w:line="240" w:lineRule="auto"/>
            </w:pPr>
            <w:r>
              <w:rPr>
                <w:rFonts w:ascii="Calibri" w:hAnsi="Calibri" w:eastAsia="Calibri" w:cs="Calibri"/>
                <w:b/>
                <w:i w:val="0"/>
                <w:color w:val="1F2937"/>
                <w:sz w:val="18"/>
              </w:rPr>
              <w:t>Separation or settlement template</w:t>
            </w:r>
          </w:p>
        </w:tc>
        <w:tc>
          <w:tcPr>
            <w:tcW w:type="dxa" w:w="3515"/>
          </w:tcPr>
          <w:p>
            <w:pPr>
              <w:spacing w:before="0" w:after="20" w:line="240" w:lineRule="auto"/>
            </w:pPr>
          </w:p>
        </w:tc>
        <w:tc>
          <w:tcPr>
            <w:tcW w:type="dxa" w:w="2154"/>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c>
          <w:tcPr>
            <w:tcW w:type="dxa" w:w="1757"/>
          </w:tcPr>
          <w:p>
            <w:pPr>
              <w:spacing w:before="0" w:after="20" w:line="240" w:lineRule="auto"/>
            </w:pPr>
          </w:p>
        </w:tc>
      </w:tr>
    </w:tbl>
    <w:p>
      <w:pPr>
        <w:keepNext/>
        <w:spacing w:before="240" w:after="60" w:line="240" w:lineRule="auto"/>
      </w:pPr>
      <w:r>
        <w:rPr>
          <w:rFonts w:ascii="Calibri" w:hAnsi="Calibri" w:eastAsia="Calibri" w:cs="Calibri"/>
          <w:b/>
          <w:i w:val="0"/>
          <w:color w:val="1F2937"/>
          <w:sz w:val="28"/>
        </w:rPr>
        <w:t>Sign-off</w:t>
      </w:r>
    </w:p>
    <w:tbl>
      <w:tblPr>
        <w:tblStyle w:val="TableGrid"/>
        <w:tblW w:type="auto" w:w="0"/>
        <w:tblLayout w:type="fixed"/>
        <w:tblCellMar>
          <w:top w:w="90" w:type="dxa"/>
          <w:left w:w="80" w:type="dxa"/>
          <w:bottom w:w="90" w:type="dxa"/>
          <w:right w:w="80" w:type="dxa"/>
        </w:tblCellMar>
        <w:tblLook w:firstColumn="1" w:firstRow="1" w:lastColumn="0" w:lastRow="0" w:noHBand="0" w:noVBand="1" w:val="04A0"/>
      </w:tblPr>
      <w:tblGrid>
        <w:gridCol w:w="5215"/>
        <w:gridCol w:w="5215"/>
        <w:gridCol w:w="5272"/>
      </w:tblGrid>
      <w:tr>
        <w:tc>
          <w:tcPr>
            <w:tcW w:type="dxa" w:w="5216"/>
          </w:tcPr>
          <w:p>
            <w:pPr>
              <w:spacing w:before="0" w:after="20" w:line="240" w:lineRule="auto"/>
            </w:pPr>
            <w:r>
              <w:rPr>
                <w:rFonts w:ascii="Calibri" w:hAnsi="Calibri" w:eastAsia="Calibri" w:cs="Calibri"/>
                <w:b w:val="0"/>
                <w:i w:val="0"/>
                <w:color w:val="1F2937"/>
                <w:sz w:val="19"/>
              </w:rPr>
              <w:t>Part A rows reviewed: ______ of 27</w:t>
            </w:r>
          </w:p>
        </w:tc>
        <w:tc>
          <w:tcPr>
            <w:tcW w:type="dxa" w:w="5216"/>
          </w:tcPr>
          <w:p>
            <w:pPr>
              <w:spacing w:before="0" w:after="20" w:line="240" w:lineRule="auto"/>
            </w:pPr>
            <w:r>
              <w:rPr>
                <w:rFonts w:ascii="Calibri" w:hAnsi="Calibri" w:eastAsia="Calibri" w:cs="Calibri"/>
                <w:b w:val="0"/>
                <w:i w:val="0"/>
                <w:color w:val="1F2937"/>
                <w:sz w:val="19"/>
              </w:rPr>
              <w:t>Part A rows marked Yes: ______</w:t>
            </w:r>
          </w:p>
        </w:tc>
        <w:tc>
          <w:tcPr>
            <w:tcW w:type="dxa" w:w="5272"/>
          </w:tcPr>
          <w:p>
            <w:pPr>
              <w:spacing w:before="0" w:after="20" w:line="240" w:lineRule="auto"/>
            </w:pPr>
            <w:r>
              <w:rPr>
                <w:rFonts w:ascii="Calibri" w:hAnsi="Calibri" w:eastAsia="Calibri" w:cs="Calibri"/>
                <w:b w:val="0"/>
                <w:i w:val="0"/>
                <w:color w:val="1F2937"/>
                <w:sz w:val="19"/>
              </w:rPr>
              <w:t>Part B check-again dates set: ______ of 21</w:t>
            </w:r>
          </w:p>
        </w:tc>
      </w:tr>
      <w:tr>
        <w:tc>
          <w:tcPr>
            <w:tcW w:type="dxa" w:w="5216"/>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Lawyer or payroll provider consulted</w:t>
            </w:r>
          </w:p>
        </w:tc>
        <w:tc>
          <w:tcPr>
            <w:tcW w:type="dxa" w:w="5216"/>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Owners and due dates assigned</w:t>
            </w:r>
          </w:p>
        </w:tc>
        <w:tc>
          <w:tcPr>
            <w:tcW w:type="dxa" w:w="5272"/>
          </w:tcPr>
          <w:p>
            <w:pPr>
              <w:spacing w:before="0" w:after="20" w:line="240" w:lineRule="auto"/>
            </w:pPr>
            <w:r>
              <w:rPr>
                <w:rFonts w:ascii="Segoe UI Symbol" w:hAnsi="Segoe UI Symbol" w:eastAsia="Segoe UI Symbol" w:cs="Segoe UI Symbol"/>
                <w:b w:val="0"/>
                <w:color w:val="1F2937"/>
                <w:sz w:val="21"/>
              </w:rPr>
              <w:t>☐</w:t>
            </w:r>
            <w:r>
              <w:rPr>
                <w:rFonts w:ascii="Calibri" w:hAnsi="Calibri" w:eastAsia="Calibri" w:cs="Calibri"/>
                <w:b w:val="0"/>
                <w:i w:val="0"/>
                <w:color w:val="1F2937"/>
                <w:sz w:val="19"/>
              </w:rPr>
              <w:t xml:space="preserve"> Inventory completed</w:t>
            </w:r>
          </w:p>
        </w:tc>
      </w:tr>
      <w:tr>
        <w:tc>
          <w:tcPr>
            <w:tcW w:type="dxa" w:w="5216"/>
          </w:tcPr>
          <w:p>
            <w:pPr>
              <w:spacing w:before="0" w:after="20" w:line="240" w:lineRule="auto"/>
            </w:pPr>
            <w:r>
              <w:rPr>
                <w:rFonts w:ascii="Calibri" w:hAnsi="Calibri" w:eastAsia="Calibri" w:cs="Calibri"/>
                <w:b w:val="0"/>
                <w:i w:val="0"/>
                <w:color w:val="1F2937"/>
                <w:sz w:val="19"/>
              </w:rPr>
              <w:t>Reviewed by: ______________________________</w:t>
            </w:r>
          </w:p>
        </w:tc>
        <w:tc>
          <w:tcPr>
            <w:tcW w:type="dxa" w:w="5216"/>
          </w:tcPr>
          <w:p>
            <w:pPr>
              <w:spacing w:before="0" w:after="20" w:line="240" w:lineRule="auto"/>
            </w:pPr>
            <w:r>
              <w:rPr>
                <w:rFonts w:ascii="Calibri" w:hAnsi="Calibri" w:eastAsia="Calibri" w:cs="Calibri"/>
                <w:b w:val="0"/>
                <w:i w:val="0"/>
                <w:color w:val="1F2937"/>
                <w:sz w:val="19"/>
              </w:rPr>
              <w:t>Date: ____________________</w:t>
            </w:r>
          </w:p>
        </w:tc>
        <w:tc>
          <w:tcPr>
            <w:tcW w:type="dxa" w:w="5272"/>
          </w:tcPr>
          <w:p>
            <w:pPr>
              <w:spacing w:before="0" w:after="20" w:line="240" w:lineRule="auto"/>
            </w:pPr>
            <w:r>
              <w:rPr>
                <w:rFonts w:ascii="Calibri" w:hAnsi="Calibri" w:eastAsia="Calibri" w:cs="Calibri"/>
                <w:b w:val="0"/>
                <w:i w:val="0"/>
                <w:color w:val="1F2937"/>
                <w:sz w:val="19"/>
              </w:rPr>
              <w:t>Next full review: ____________________</w:t>
            </w:r>
          </w:p>
        </w:tc>
      </w:tr>
    </w:tbl>
    <w:p>
      <w:r>
        <w:br w:type="page"/>
      </w:r>
    </w:p>
    <w:p>
      <w:pPr>
        <w:keepNext/>
        <w:spacing w:before="0" w:after="60" w:line="240" w:lineRule="auto"/>
      </w:pPr>
      <w:r>
        <w:rPr>
          <w:rFonts w:ascii="Calibri" w:hAnsi="Calibri" w:eastAsia="Calibri" w:cs="Calibri"/>
          <w:b/>
          <w:i w:val="0"/>
          <w:color w:val="1F2937"/>
          <w:sz w:val="28"/>
        </w:rPr>
        <w:t>Sources</w:t>
      </w:r>
    </w:p>
    <w:p>
      <w:pPr>
        <w:spacing w:before="0" w:after="80" w:line="240" w:lineRule="auto"/>
      </w:pPr>
      <w:r>
        <w:rPr>
          <w:rFonts w:ascii="Calibri" w:hAnsi="Calibri" w:eastAsia="Calibri" w:cs="Calibri"/>
          <w:b w:val="0"/>
          <w:i w:val="0"/>
          <w:color w:val="555F6B"/>
          <w:sz w:val="18"/>
        </w:rPr>
        <w:t>Every source below was opened on October 27 and 28, 2026; the Opened column gives each date. The page date is the date the source prints, or says it prints none.</w:t>
      </w:r>
    </w:p>
    <w:tbl>
      <w:tblPr>
        <w:tblStyle w:val="TableGrid"/>
        <w:tblW w:type="auto" w:w="0"/>
        <w:tblLayout w:type="fixed"/>
        <w:tblCellMar>
          <w:top w:w="35" w:type="dxa"/>
          <w:left w:w="50" w:type="dxa"/>
          <w:bottom w:w="35" w:type="dxa"/>
          <w:right w:w="50" w:type="dxa"/>
        </w:tblCellMar>
        <w:tblLook w:firstColumn="1" w:firstRow="1" w:lastColumn="0" w:lastRow="0" w:noHBand="0" w:noVBand="1" w:val="04A0"/>
      </w:tblPr>
      <w:tblGrid>
        <w:gridCol w:w="4422"/>
        <w:gridCol w:w="1247"/>
        <w:gridCol w:w="2154"/>
        <w:gridCol w:w="6746"/>
        <w:gridCol w:w="1133"/>
      </w:tblGrid>
      <w:tr>
        <w:trPr>
          <w:tblHeader w:val="true"/>
        </w:trPr>
        <w:tc>
          <w:tcPr>
            <w:tcW w:type="dxa" w:w="4422"/>
            <w:shd w:val="clear" w:color="auto" w:fill="DCE6F1"/>
          </w:tcPr>
          <w:p>
            <w:pPr>
              <w:spacing w:before="0" w:after="20" w:line="240" w:lineRule="auto"/>
            </w:pPr>
            <w:r>
              <w:rPr>
                <w:rFonts w:ascii="Calibri" w:hAnsi="Calibri" w:eastAsia="Calibri" w:cs="Calibri"/>
                <w:b/>
                <w:i w:val="0"/>
                <w:color w:val="1F2937"/>
                <w:sz w:val="16"/>
              </w:rPr>
              <w:t>Source</w:t>
            </w:r>
          </w:p>
        </w:tc>
        <w:tc>
          <w:tcPr>
            <w:tcW w:type="dxa" w:w="1247"/>
            <w:shd w:val="clear" w:color="auto" w:fill="DCE6F1"/>
          </w:tcPr>
          <w:p>
            <w:pPr>
              <w:spacing w:before="0" w:after="20" w:line="240" w:lineRule="auto"/>
            </w:pPr>
            <w:r>
              <w:rPr>
                <w:rFonts w:ascii="Calibri" w:hAnsi="Calibri" w:eastAsia="Calibri" w:cs="Calibri"/>
                <w:b/>
                <w:i w:val="0"/>
                <w:color w:val="1F2937"/>
                <w:sz w:val="16"/>
              </w:rPr>
              <w:t>Rows</w:t>
            </w:r>
          </w:p>
        </w:tc>
        <w:tc>
          <w:tcPr>
            <w:tcW w:type="dxa" w:w="2154"/>
            <w:shd w:val="clear" w:color="auto" w:fill="DCE6F1"/>
          </w:tcPr>
          <w:p>
            <w:pPr>
              <w:spacing w:before="0" w:after="20" w:line="240" w:lineRule="auto"/>
            </w:pPr>
            <w:r>
              <w:rPr>
                <w:rFonts w:ascii="Calibri" w:hAnsi="Calibri" w:eastAsia="Calibri" w:cs="Calibri"/>
                <w:b/>
                <w:i w:val="0"/>
                <w:color w:val="1F2937"/>
                <w:sz w:val="16"/>
              </w:rPr>
              <w:t>Page date as shown</w:t>
            </w:r>
          </w:p>
        </w:tc>
        <w:tc>
          <w:tcPr>
            <w:tcW w:type="dxa" w:w="6746"/>
            <w:shd w:val="clear" w:color="auto" w:fill="DCE6F1"/>
          </w:tcPr>
          <w:p>
            <w:pPr>
              <w:spacing w:before="0" w:after="20" w:line="240" w:lineRule="auto"/>
            </w:pPr>
            <w:r>
              <w:rPr>
                <w:rFonts w:ascii="Calibri" w:hAnsi="Calibri" w:eastAsia="Calibri" w:cs="Calibri"/>
                <w:b/>
                <w:i w:val="0"/>
                <w:color w:val="1F2937"/>
                <w:sz w:val="16"/>
              </w:rPr>
              <w:t>URL</w:t>
            </w:r>
          </w:p>
        </w:tc>
        <w:tc>
          <w:tcPr>
            <w:tcW w:type="dxa" w:w="1134"/>
            <w:shd w:val="clear" w:color="auto" w:fill="DCE6F1"/>
          </w:tcPr>
          <w:p>
            <w:pPr>
              <w:spacing w:before="0" w:after="20" w:line="240" w:lineRule="auto"/>
            </w:pPr>
            <w:r>
              <w:rPr>
                <w:rFonts w:ascii="Calibri" w:hAnsi="Calibri" w:eastAsia="Calibri" w:cs="Calibri"/>
                <w:b/>
                <w:i w:val="0"/>
                <w:color w:val="1F2937"/>
                <w:sz w:val="16"/>
              </w:rPr>
              <w:t>Opened</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legislation.gov.uk, The Employment Rights Act 2025 (Commencement No. 4 and Transitional and Saving Provisions) Regulations 2026</w:t>
            </w:r>
          </w:p>
        </w:tc>
        <w:tc>
          <w:tcPr>
            <w:tcW w:type="dxa" w:w="1247"/>
          </w:tcPr>
          <w:p>
            <w:pPr>
              <w:spacing w:before="0" w:after="20" w:line="240" w:lineRule="auto"/>
            </w:pPr>
            <w:r>
              <w:rPr>
                <w:rFonts w:ascii="Calibri" w:hAnsi="Calibri" w:eastAsia="Calibri" w:cs="Calibri"/>
                <w:b w:val="0"/>
                <w:i w:val="0"/>
                <w:color w:val="1F2937"/>
                <w:sz w:val="15"/>
              </w:rPr>
              <w:t>A1, A2</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https://www.legislation.gov.uk/uksi/2026/559/contents/made</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business.gov.uk, Unfair dismissal rights (Employment Rights Act 2025)</w:t>
            </w:r>
          </w:p>
        </w:tc>
        <w:tc>
          <w:tcPr>
            <w:tcW w:type="dxa" w:w="1247"/>
          </w:tcPr>
          <w:p>
            <w:pPr>
              <w:spacing w:before="0" w:after="20" w:line="240" w:lineRule="auto"/>
            </w:pPr>
            <w:r>
              <w:rPr>
                <w:rFonts w:ascii="Calibri" w:hAnsi="Calibri" w:eastAsia="Calibri" w:cs="Calibri"/>
                <w:b w:val="0"/>
                <w:i w:val="0"/>
                <w:color w:val="1F2937"/>
                <w:sz w:val="15"/>
              </w:rPr>
              <w:t>A1, A2</w:t>
            </w:r>
          </w:p>
        </w:tc>
        <w:tc>
          <w:tcPr>
            <w:tcW w:type="dxa" w:w="2154"/>
          </w:tcPr>
          <w:p>
            <w:pPr>
              <w:spacing w:before="0" w:after="20" w:line="240" w:lineRule="auto"/>
            </w:pPr>
            <w:r>
              <w:rPr>
                <w:rFonts w:ascii="Calibri" w:hAnsi="Calibri" w:eastAsia="Calibri" w:cs="Calibri"/>
                <w:b w:val="0"/>
                <w:i w:val="0"/>
                <w:color w:val="1F2937"/>
                <w:sz w:val="15"/>
              </w:rPr>
              <w:t>last updated Jul 30, 2026</w:t>
            </w:r>
          </w:p>
        </w:tc>
        <w:tc>
          <w:tcPr>
            <w:tcW w:type="dxa" w:w="6746"/>
          </w:tcPr>
          <w:p>
            <w:pPr>
              <w:spacing w:before="0" w:after="20" w:line="240" w:lineRule="auto"/>
            </w:pPr>
            <w:r>
              <w:rPr>
                <w:rFonts w:ascii="Calibri" w:hAnsi="Calibri" w:eastAsia="Calibri" w:cs="Calibri"/>
                <w:b w:val="0"/>
                <w:i w:val="0"/>
                <w:color w:val="1F2937"/>
                <w:sz w:val="14"/>
              </w:rPr>
              <w:t>https://www.business.gov.uk/campaign/employment-changes/employers/unfair-dismissal-rights/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Acas, Probation periods</w:t>
            </w:r>
          </w:p>
        </w:tc>
        <w:tc>
          <w:tcPr>
            <w:tcW w:type="dxa" w:w="1247"/>
          </w:tcPr>
          <w:p>
            <w:pPr>
              <w:spacing w:before="0" w:after="20" w:line="240" w:lineRule="auto"/>
            </w:pPr>
            <w:r>
              <w:rPr>
                <w:rFonts w:ascii="Calibri" w:hAnsi="Calibri" w:eastAsia="Calibri" w:cs="Calibri"/>
                <w:b w:val="0"/>
                <w:i w:val="0"/>
                <w:color w:val="1F2937"/>
                <w:sz w:val="15"/>
              </w:rPr>
              <w:t>A1</w:t>
            </w:r>
          </w:p>
        </w:tc>
        <w:tc>
          <w:tcPr>
            <w:tcW w:type="dxa" w:w="2154"/>
          </w:tcPr>
          <w:p>
            <w:pPr>
              <w:spacing w:before="0" w:after="20" w:line="240" w:lineRule="auto"/>
            </w:pPr>
            <w:r>
              <w:rPr>
                <w:rFonts w:ascii="Calibri" w:hAnsi="Calibri" w:eastAsia="Calibri" w:cs="Calibri"/>
                <w:b w:val="0"/>
                <w:i w:val="0"/>
                <w:color w:val="1F2937"/>
                <w:sz w:val="15"/>
              </w:rPr>
              <w:t>last updated Oct 7, 2026</w:t>
            </w:r>
          </w:p>
        </w:tc>
        <w:tc>
          <w:tcPr>
            <w:tcW w:type="dxa" w:w="6746"/>
          </w:tcPr>
          <w:p>
            <w:pPr>
              <w:spacing w:before="0" w:after="20" w:line="240" w:lineRule="auto"/>
            </w:pPr>
            <w:r>
              <w:rPr>
                <w:rFonts w:ascii="Calibri" w:hAnsi="Calibri" w:eastAsia="Calibri" w:cs="Calibri"/>
                <w:b w:val="0"/>
                <w:i w:val="0"/>
                <w:color w:val="1F2937"/>
                <w:sz w:val="14"/>
              </w:rPr>
              <w:t>https://www.acas.org.uk/probation-periods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legislation.gov.uk, Employment Rights Act 2025, section 25</w:t>
            </w:r>
          </w:p>
        </w:tc>
        <w:tc>
          <w:tcPr>
            <w:tcW w:type="dxa" w:w="1247"/>
          </w:tcPr>
          <w:p>
            <w:pPr>
              <w:spacing w:before="0" w:after="20" w:line="240" w:lineRule="auto"/>
            </w:pPr>
            <w:r>
              <w:rPr>
                <w:rFonts w:ascii="Calibri" w:hAnsi="Calibri" w:eastAsia="Calibri" w:cs="Calibri"/>
                <w:b w:val="0"/>
                <w:i w:val="0"/>
                <w:color w:val="1F2937"/>
                <w:sz w:val="15"/>
              </w:rPr>
              <w:t>A2</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https://www.legislation.gov.uk/ukpga/2025/36/section/25</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Washington Legislature, ESHB 1155 session law (Chapter 149, Laws of 2026)</w:t>
            </w:r>
          </w:p>
        </w:tc>
        <w:tc>
          <w:tcPr>
            <w:tcW w:type="dxa" w:w="1247"/>
          </w:tcPr>
          <w:p>
            <w:pPr>
              <w:spacing w:before="0" w:after="20" w:line="240" w:lineRule="auto"/>
            </w:pPr>
            <w:r>
              <w:rPr>
                <w:rFonts w:ascii="Calibri" w:hAnsi="Calibri" w:eastAsia="Calibri" w:cs="Calibri"/>
                <w:b w:val="0"/>
                <w:i w:val="0"/>
                <w:color w:val="1F2937"/>
                <w:sz w:val="15"/>
              </w:rPr>
              <w:t>A3</w:t>
            </w:r>
          </w:p>
        </w:tc>
        <w:tc>
          <w:tcPr>
            <w:tcW w:type="dxa" w:w="2154"/>
          </w:tcPr>
          <w:p>
            <w:pPr>
              <w:spacing w:before="0" w:after="20" w:line="240" w:lineRule="auto"/>
            </w:pPr>
            <w:r>
              <w:rPr>
                <w:rFonts w:ascii="Calibri" w:hAnsi="Calibri" w:eastAsia="Calibri" w:cs="Calibri"/>
                <w:b w:val="0"/>
                <w:i w:val="0"/>
                <w:color w:val="1F2937"/>
                <w:sz w:val="15"/>
              </w:rPr>
              <w:t>approved by the Governor Mar 23, 2026</w:t>
            </w:r>
          </w:p>
        </w:tc>
        <w:tc>
          <w:tcPr>
            <w:tcW w:type="dxa" w:w="6746"/>
          </w:tcPr>
          <w:p>
            <w:pPr>
              <w:spacing w:before="0" w:after="20" w:line="240" w:lineRule="auto"/>
            </w:pPr>
            <w:r>
              <w:rPr>
                <w:rFonts w:ascii="Calibri" w:hAnsi="Calibri" w:eastAsia="Calibri" w:cs="Calibri"/>
                <w:b w:val="0"/>
                <w:i w:val="0"/>
                <w:color w:val="1F2937"/>
                <w:sz w:val="14"/>
              </w:rPr>
              <w:t>https://lawfilesext.leg.wa.gov/biennium/2025-26/Pdf/Bills/Session%20Laws/House/1155-S.SL.pdf</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Washington L&amp;I, Changes made to Washington's overtime rules</w:t>
            </w:r>
          </w:p>
        </w:tc>
        <w:tc>
          <w:tcPr>
            <w:tcW w:type="dxa" w:w="1247"/>
          </w:tcPr>
          <w:p>
            <w:pPr>
              <w:spacing w:before="0" w:after="20" w:line="240" w:lineRule="auto"/>
            </w:pPr>
            <w:r>
              <w:rPr>
                <w:rFonts w:ascii="Calibri" w:hAnsi="Calibri" w:eastAsia="Calibri" w:cs="Calibri"/>
                <w:b w:val="0"/>
                <w:i w:val="0"/>
                <w:color w:val="1F2937"/>
                <w:sz w:val="15"/>
              </w:rPr>
              <w:t>A4</w:t>
            </w:r>
          </w:p>
        </w:tc>
        <w:tc>
          <w:tcPr>
            <w:tcW w:type="dxa" w:w="2154"/>
          </w:tcPr>
          <w:p>
            <w:pPr>
              <w:spacing w:before="0" w:after="20" w:line="240" w:lineRule="auto"/>
            </w:pPr>
            <w:r>
              <w:rPr>
                <w:rFonts w:ascii="Calibri" w:hAnsi="Calibri" w:eastAsia="Calibri" w:cs="Calibri"/>
                <w:b w:val="0"/>
                <w:i w:val="0"/>
                <w:color w:val="1F2937"/>
                <w:sz w:val="15"/>
              </w:rPr>
              <w:t>page date not reliable, text covers 2027</w:t>
            </w:r>
          </w:p>
        </w:tc>
        <w:tc>
          <w:tcPr>
            <w:tcW w:type="dxa" w:w="6746"/>
          </w:tcPr>
          <w:p>
            <w:pPr>
              <w:spacing w:before="0" w:after="20" w:line="240" w:lineRule="auto"/>
            </w:pPr>
            <w:r>
              <w:rPr>
                <w:rFonts w:ascii="Calibri" w:hAnsi="Calibri" w:eastAsia="Calibri" w:cs="Calibri"/>
                <w:b w:val="0"/>
                <w:i w:val="0"/>
                <w:color w:val="1F2937"/>
                <w:sz w:val="14"/>
              </w:rPr>
              <w:t>https://www.lni.wa.gov/workers-rights/wages/overtime/changes-to-overtime-rules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Connecticut Department of Labor, Paid sick leave FAQs</w:t>
            </w:r>
          </w:p>
        </w:tc>
        <w:tc>
          <w:tcPr>
            <w:tcW w:type="dxa" w:w="1247"/>
          </w:tcPr>
          <w:p>
            <w:pPr>
              <w:spacing w:before="0" w:after="20" w:line="240" w:lineRule="auto"/>
            </w:pPr>
            <w:r>
              <w:rPr>
                <w:rFonts w:ascii="Calibri" w:hAnsi="Calibri" w:eastAsia="Calibri" w:cs="Calibri"/>
                <w:b w:val="0"/>
                <w:i w:val="0"/>
                <w:color w:val="1F2937"/>
                <w:sz w:val="15"/>
              </w:rPr>
              <w:t>A5</w:t>
            </w:r>
          </w:p>
        </w:tc>
        <w:tc>
          <w:tcPr>
            <w:tcW w:type="dxa" w:w="2154"/>
          </w:tcPr>
          <w:p>
            <w:pPr>
              <w:spacing w:before="0" w:after="20" w:line="240" w:lineRule="auto"/>
            </w:pPr>
            <w:r>
              <w:rPr>
                <w:rFonts w:ascii="Calibri" w:hAnsi="Calibri" w:eastAsia="Calibri" w:cs="Calibri"/>
                <w:b w:val="0"/>
                <w:i w:val="0"/>
                <w:color w:val="1F2937"/>
                <w:sz w:val="15"/>
              </w:rPr>
              <w:t>updated Sep 23, 2026</w:t>
            </w:r>
          </w:p>
        </w:tc>
        <w:tc>
          <w:tcPr>
            <w:tcW w:type="dxa" w:w="6746"/>
          </w:tcPr>
          <w:p>
            <w:pPr>
              <w:spacing w:before="0" w:after="20" w:line="240" w:lineRule="auto"/>
            </w:pPr>
            <w:r>
              <w:rPr>
                <w:rFonts w:ascii="Calibri" w:hAnsi="Calibri" w:eastAsia="Calibri" w:cs="Calibri"/>
                <w:b w:val="0"/>
                <w:i w:val="0"/>
                <w:color w:val="1F2937"/>
                <w:sz w:val="14"/>
              </w:rPr>
              <w:t>https://portal.ct.gov/dol/divisions/legal/connecticut-leave-programs/paid-sick-leave-faqs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Maryland Department of Labor, FAMLI make contributions</w:t>
            </w:r>
          </w:p>
        </w:tc>
        <w:tc>
          <w:tcPr>
            <w:tcW w:type="dxa" w:w="1247"/>
          </w:tcPr>
          <w:p>
            <w:pPr>
              <w:spacing w:before="0" w:after="20" w:line="240" w:lineRule="auto"/>
            </w:pPr>
            <w:r>
              <w:rPr>
                <w:rFonts w:ascii="Calibri" w:hAnsi="Calibri" w:eastAsia="Calibri" w:cs="Calibri"/>
                <w:b w:val="0"/>
                <w:i w:val="0"/>
                <w:color w:val="1F2937"/>
                <w:sz w:val="15"/>
              </w:rPr>
              <w:t>A6</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https://paidleave.maryland.gov/employers/make-contributions/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Maryland Department of Labor, FAMLI employers</w:t>
            </w:r>
          </w:p>
        </w:tc>
        <w:tc>
          <w:tcPr>
            <w:tcW w:type="dxa" w:w="1247"/>
          </w:tcPr>
          <w:p>
            <w:pPr>
              <w:spacing w:before="0" w:after="20" w:line="240" w:lineRule="auto"/>
            </w:pPr>
            <w:r>
              <w:rPr>
                <w:rFonts w:ascii="Calibri" w:hAnsi="Calibri" w:eastAsia="Calibri" w:cs="Calibri"/>
                <w:b w:val="0"/>
                <w:i w:val="0"/>
                <w:color w:val="1F2937"/>
                <w:sz w:val="15"/>
              </w:rPr>
              <w:t>A6</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https://paidleave.maryland.gov/employers/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California Department of Industrial Relations, news release 2026-14 (Workplace Know Your Rights Act)</w:t>
            </w:r>
          </w:p>
        </w:tc>
        <w:tc>
          <w:tcPr>
            <w:tcW w:type="dxa" w:w="1247"/>
          </w:tcPr>
          <w:p>
            <w:pPr>
              <w:spacing w:before="0" w:after="20" w:line="240" w:lineRule="auto"/>
            </w:pPr>
            <w:r>
              <w:rPr>
                <w:rFonts w:ascii="Calibri" w:hAnsi="Calibri" w:eastAsia="Calibri" w:cs="Calibri"/>
                <w:b w:val="0"/>
                <w:i w:val="0"/>
                <w:color w:val="1F2937"/>
                <w:sz w:val="15"/>
              </w:rPr>
              <w:t>A7</w:t>
            </w:r>
          </w:p>
        </w:tc>
        <w:tc>
          <w:tcPr>
            <w:tcW w:type="dxa" w:w="2154"/>
          </w:tcPr>
          <w:p>
            <w:pPr>
              <w:spacing w:before="0" w:after="20" w:line="240" w:lineRule="auto"/>
            </w:pPr>
            <w:r>
              <w:rPr>
                <w:rFonts w:ascii="Calibri" w:hAnsi="Calibri" w:eastAsia="Calibri" w:cs="Calibri"/>
                <w:b w:val="0"/>
                <w:i w:val="0"/>
                <w:color w:val="1F2937"/>
                <w:sz w:val="15"/>
              </w:rPr>
              <w:t>released Jan 30, 2026</w:t>
            </w:r>
          </w:p>
        </w:tc>
        <w:tc>
          <w:tcPr>
            <w:tcW w:type="dxa" w:w="6746"/>
          </w:tcPr>
          <w:p>
            <w:pPr>
              <w:spacing w:before="0" w:after="20" w:line="240" w:lineRule="auto"/>
            </w:pPr>
            <w:r>
              <w:rPr>
                <w:rFonts w:ascii="Calibri" w:hAnsi="Calibri" w:eastAsia="Calibri" w:cs="Calibri"/>
                <w:b w:val="0"/>
                <w:i w:val="0"/>
                <w:color w:val="1F2937"/>
                <w:sz w:val="14"/>
              </w:rPr>
              <w:t>https://www.dir.ca.gov/DIRNews/2026/2026-14.html</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California Privacy Protection Agency, announcement of Sep 23, 2025</w:t>
            </w:r>
          </w:p>
        </w:tc>
        <w:tc>
          <w:tcPr>
            <w:tcW w:type="dxa" w:w="1247"/>
          </w:tcPr>
          <w:p>
            <w:pPr>
              <w:spacing w:before="0" w:after="20" w:line="240" w:lineRule="auto"/>
            </w:pPr>
            <w:r>
              <w:rPr>
                <w:rFonts w:ascii="Calibri" w:hAnsi="Calibri" w:eastAsia="Calibri" w:cs="Calibri"/>
                <w:b w:val="0"/>
                <w:i w:val="0"/>
                <w:color w:val="1F2937"/>
                <w:sz w:val="15"/>
              </w:rPr>
              <w:t>A8</w:t>
            </w:r>
          </w:p>
        </w:tc>
        <w:tc>
          <w:tcPr>
            <w:tcW w:type="dxa" w:w="2154"/>
          </w:tcPr>
          <w:p>
            <w:pPr>
              <w:spacing w:before="0" w:after="20" w:line="240" w:lineRule="auto"/>
            </w:pPr>
            <w:r>
              <w:rPr>
                <w:rFonts w:ascii="Calibri" w:hAnsi="Calibri" w:eastAsia="Calibri" w:cs="Calibri"/>
                <w:b w:val="0"/>
                <w:i w:val="0"/>
                <w:color w:val="1F2937"/>
                <w:sz w:val="15"/>
              </w:rPr>
              <w:t>Sep 23, 2025</w:t>
            </w:r>
          </w:p>
        </w:tc>
        <w:tc>
          <w:tcPr>
            <w:tcW w:type="dxa" w:w="6746"/>
          </w:tcPr>
          <w:p>
            <w:pPr>
              <w:spacing w:before="0" w:after="20" w:line="240" w:lineRule="auto"/>
            </w:pPr>
            <w:r>
              <w:rPr>
                <w:rFonts w:ascii="Calibri" w:hAnsi="Calibri" w:eastAsia="Calibri" w:cs="Calibri"/>
                <w:b w:val="0"/>
                <w:i w:val="0"/>
                <w:color w:val="1F2937"/>
                <w:sz w:val="14"/>
              </w:rPr>
              <w:t>https://cppa.ca.gov/announcements/2025/20250923.html</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California Privacy Protection Agency, CCPA updates, cyber, risk, ADMT regulation text</w:t>
            </w:r>
          </w:p>
        </w:tc>
        <w:tc>
          <w:tcPr>
            <w:tcW w:type="dxa" w:w="1247"/>
          </w:tcPr>
          <w:p>
            <w:pPr>
              <w:spacing w:before="0" w:after="20" w:line="240" w:lineRule="auto"/>
            </w:pPr>
            <w:r>
              <w:rPr>
                <w:rFonts w:ascii="Calibri" w:hAnsi="Calibri" w:eastAsia="Calibri" w:cs="Calibri"/>
                <w:b w:val="0"/>
                <w:i w:val="0"/>
                <w:color w:val="1F2937"/>
                <w:sz w:val="15"/>
              </w:rPr>
              <w:t>A8</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https://cppa.ca.gov/regulations/pdf/ccpa_updates_cyber_risk_admt_appr_text.pdf</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Colorado General Assembly, SB26-189 Signed Act</w:t>
            </w:r>
          </w:p>
        </w:tc>
        <w:tc>
          <w:tcPr>
            <w:tcW w:type="dxa" w:w="1247"/>
          </w:tcPr>
          <w:p>
            <w:pPr>
              <w:spacing w:before="0" w:after="20" w:line="240" w:lineRule="auto"/>
            </w:pPr>
            <w:r>
              <w:rPr>
                <w:rFonts w:ascii="Calibri" w:hAnsi="Calibri" w:eastAsia="Calibri" w:cs="Calibri"/>
                <w:b w:val="0"/>
                <w:i w:val="0"/>
                <w:color w:val="1F2937"/>
                <w:sz w:val="15"/>
              </w:rPr>
              <w:t>A9</w:t>
            </w:r>
          </w:p>
        </w:tc>
        <w:tc>
          <w:tcPr>
            <w:tcW w:type="dxa" w:w="2154"/>
          </w:tcPr>
          <w:p>
            <w:pPr>
              <w:spacing w:before="0" w:after="20" w:line="240" w:lineRule="auto"/>
            </w:pPr>
            <w:r>
              <w:rPr>
                <w:rFonts w:ascii="Calibri" w:hAnsi="Calibri" w:eastAsia="Calibri" w:cs="Calibri"/>
                <w:b w:val="0"/>
                <w:i w:val="0"/>
                <w:color w:val="1F2937"/>
                <w:sz w:val="15"/>
              </w:rPr>
              <w:t>signed May 14, 2026</w:t>
            </w:r>
          </w:p>
        </w:tc>
        <w:tc>
          <w:tcPr>
            <w:tcW w:type="dxa" w:w="6746"/>
          </w:tcPr>
          <w:p>
            <w:pPr>
              <w:spacing w:before="0" w:after="20" w:line="240" w:lineRule="auto"/>
            </w:pPr>
            <w:r>
              <w:rPr>
                <w:rFonts w:ascii="Calibri" w:hAnsi="Calibri" w:eastAsia="Calibri" w:cs="Calibri"/>
                <w:b w:val="0"/>
                <w:i w:val="0"/>
                <w:color w:val="1F2937"/>
                <w:sz w:val="14"/>
              </w:rPr>
              <w:t>https://leg.colorado.gov/bill_files/116489/download</w:t>
            </w:r>
          </w:p>
        </w:tc>
        <w:tc>
          <w:tcPr>
            <w:tcW w:type="dxa" w:w="1134"/>
          </w:tcPr>
          <w:p>
            <w:pPr>
              <w:spacing w:before="0" w:after="20" w:line="240" w:lineRule="auto"/>
            </w:pPr>
            <w:r>
              <w:rPr>
                <w:rFonts w:ascii="Calibri" w:hAnsi="Calibri" w:eastAsia="Calibri" w:cs="Calibri"/>
                <w:b w:val="0"/>
                <w:i w:val="0"/>
                <w:color w:val="1F2937"/>
                <w:sz w:val="15"/>
              </w:rPr>
              <w:t>2026-10-28</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Colorado General Assembly, SB26-189 bill page (status Became Law)</w:t>
            </w:r>
          </w:p>
        </w:tc>
        <w:tc>
          <w:tcPr>
            <w:tcW w:type="dxa" w:w="1247"/>
          </w:tcPr>
          <w:p>
            <w:pPr>
              <w:spacing w:before="0" w:after="20" w:line="240" w:lineRule="auto"/>
            </w:pPr>
            <w:r>
              <w:rPr>
                <w:rFonts w:ascii="Calibri" w:hAnsi="Calibri" w:eastAsia="Calibri" w:cs="Calibri"/>
                <w:b w:val="0"/>
                <w:i w:val="0"/>
                <w:color w:val="1F2937"/>
                <w:sz w:val="15"/>
              </w:rPr>
              <w:t>A9</w:t>
            </w:r>
          </w:p>
        </w:tc>
        <w:tc>
          <w:tcPr>
            <w:tcW w:type="dxa" w:w="2154"/>
          </w:tcPr>
          <w:p>
            <w:pPr>
              <w:spacing w:before="0" w:after="20" w:line="240" w:lineRule="auto"/>
            </w:pPr>
            <w:r>
              <w:rPr>
                <w:rFonts w:ascii="Calibri" w:hAnsi="Calibri" w:eastAsia="Calibri" w:cs="Calibri"/>
                <w:b w:val="0"/>
                <w:i w:val="0"/>
                <w:color w:val="1F2937"/>
                <w:sz w:val="15"/>
              </w:rPr>
              <w:t>Signed Act dated May 14, 2026</w:t>
            </w:r>
          </w:p>
        </w:tc>
        <w:tc>
          <w:tcPr>
            <w:tcW w:type="dxa" w:w="6746"/>
          </w:tcPr>
          <w:p>
            <w:pPr>
              <w:spacing w:before="0" w:after="20" w:line="240" w:lineRule="auto"/>
            </w:pPr>
            <w:r>
              <w:rPr>
                <w:rFonts w:ascii="Calibri" w:hAnsi="Calibri" w:eastAsia="Calibri" w:cs="Calibri"/>
                <w:b w:val="0"/>
                <w:i w:val="0"/>
                <w:color w:val="1F2937"/>
                <w:sz w:val="14"/>
              </w:rPr>
              <w:t>https://leg.colorado.gov/bills/sb26-189</w:t>
            </w:r>
          </w:p>
        </w:tc>
        <w:tc>
          <w:tcPr>
            <w:tcW w:type="dxa" w:w="1134"/>
          </w:tcPr>
          <w:p>
            <w:pPr>
              <w:spacing w:before="0" w:after="20" w:line="240" w:lineRule="auto"/>
            </w:pPr>
            <w:r>
              <w:rPr>
                <w:rFonts w:ascii="Calibri" w:hAnsi="Calibri" w:eastAsia="Calibri" w:cs="Calibri"/>
                <w:b w:val="0"/>
                <w:i w:val="0"/>
                <w:color w:val="1F2937"/>
                <w:sz w:val="15"/>
              </w:rPr>
              <w:t>2026-10-28</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Colorado Attorney General, Colorado Anti-Discrimination in AI Law (ADAI) Rulemaking</w:t>
            </w:r>
          </w:p>
        </w:tc>
        <w:tc>
          <w:tcPr>
            <w:tcW w:type="dxa" w:w="1247"/>
          </w:tcPr>
          <w:p>
            <w:pPr>
              <w:spacing w:before="0" w:after="20" w:line="240" w:lineRule="auto"/>
            </w:pPr>
            <w:r>
              <w:rPr>
                <w:rFonts w:ascii="Calibri" w:hAnsi="Calibri" w:eastAsia="Calibri" w:cs="Calibri"/>
                <w:b w:val="0"/>
                <w:i w:val="0"/>
                <w:color w:val="1F2937"/>
                <w:sz w:val="15"/>
              </w:rPr>
              <w:t>A9</w:t>
            </w:r>
          </w:p>
        </w:tc>
        <w:tc>
          <w:tcPr>
            <w:tcW w:type="dxa" w:w="2154"/>
          </w:tcPr>
          <w:p>
            <w:pPr>
              <w:spacing w:before="0" w:after="20" w:line="240" w:lineRule="auto"/>
            </w:pPr>
            <w:r>
              <w:rPr>
                <w:rFonts w:ascii="Calibri" w:hAnsi="Calibri" w:eastAsia="Calibri" w:cs="Calibri"/>
                <w:b w:val="0"/>
                <w:i w:val="0"/>
                <w:color w:val="1F2937"/>
                <w:sz w:val="15"/>
              </w:rPr>
              <w:t>modified Oct 27, 2026</w:t>
            </w:r>
          </w:p>
        </w:tc>
        <w:tc>
          <w:tcPr>
            <w:tcW w:type="dxa" w:w="6746"/>
          </w:tcPr>
          <w:p>
            <w:pPr>
              <w:spacing w:before="0" w:after="20" w:line="240" w:lineRule="auto"/>
            </w:pPr>
            <w:r>
              <w:rPr>
                <w:rFonts w:ascii="Calibri" w:hAnsi="Calibri" w:eastAsia="Calibri" w:cs="Calibri"/>
                <w:b w:val="0"/>
                <w:i w:val="0"/>
                <w:color w:val="1F2937"/>
                <w:sz w:val="14"/>
              </w:rPr>
              <w:t>https://coag.gov/ai/</w:t>
            </w:r>
          </w:p>
        </w:tc>
        <w:tc>
          <w:tcPr>
            <w:tcW w:type="dxa" w:w="1134"/>
          </w:tcPr>
          <w:p>
            <w:pPr>
              <w:spacing w:before="0" w:after="20" w:line="240" w:lineRule="auto"/>
            </w:pPr>
            <w:r>
              <w:rPr>
                <w:rFonts w:ascii="Calibri" w:hAnsi="Calibri" w:eastAsia="Calibri" w:cs="Calibri"/>
                <w:b w:val="0"/>
                <w:i w:val="0"/>
                <w:color w:val="1F2937"/>
                <w:sz w:val="15"/>
              </w:rPr>
              <w:t>2026-10-28</w:t>
            </w:r>
          </w:p>
        </w:tc>
      </w:tr>
      <w:tr>
        <w:trPr>
          <w:cantSplit w:val="true"/>
        </w:trPr>
        <w:tc>
          <w:tcPr>
            <w:tcW w:type="dxa" w:w="4422"/>
          </w:tcPr>
          <w:p>
            <w:pPr>
              <w:spacing w:before="0" w:after="20" w:line="240" w:lineRule="auto"/>
            </w:pPr>
            <w:r>
              <w:rPr>
                <w:rFonts w:ascii="Calibri" w:hAnsi="Calibri" w:eastAsia="Calibri" w:cs="Calibri"/>
                <w:b w:val="0"/>
                <w:i w:val="0"/>
                <w:color w:val="1F2937"/>
                <w:sz w:val="15"/>
              </w:rPr>
              <w:t>Delaware General Assembly, House Substitute 2 for House Bill 105</w:t>
            </w:r>
          </w:p>
        </w:tc>
        <w:tc>
          <w:tcPr>
            <w:tcW w:type="dxa" w:w="1247"/>
          </w:tcPr>
          <w:p>
            <w:pPr>
              <w:spacing w:before="0" w:after="20" w:line="240" w:lineRule="auto"/>
            </w:pPr>
            <w:r>
              <w:rPr>
                <w:rFonts w:ascii="Calibri" w:hAnsi="Calibri" w:eastAsia="Calibri" w:cs="Calibri"/>
                <w:b w:val="0"/>
                <w:i w:val="0"/>
                <w:color w:val="1F2937"/>
                <w:sz w:val="15"/>
              </w:rPr>
              <w:t>A10</w:t>
            </w:r>
          </w:p>
        </w:tc>
        <w:tc>
          <w:tcPr>
            <w:tcW w:type="dxa" w:w="2154"/>
          </w:tcPr>
          <w:p>
            <w:pPr>
              <w:spacing w:before="0" w:after="20" w:line="240" w:lineRule="auto"/>
            </w:pPr>
            <w:r>
              <w:rPr>
                <w:rFonts w:ascii="Calibri" w:hAnsi="Calibri" w:eastAsia="Calibri" w:cs="Calibri"/>
                <w:b w:val="0"/>
                <w:i w:val="0"/>
                <w:color w:val="1F2937"/>
                <w:sz w:val="15"/>
              </w:rPr>
              <w:t>signed Sep 26, 2025</w:t>
            </w:r>
          </w:p>
        </w:tc>
        <w:tc>
          <w:tcPr>
            <w:tcW w:type="dxa" w:w="6746"/>
          </w:tcPr>
          <w:p>
            <w:pPr>
              <w:spacing w:before="0" w:after="20" w:line="240" w:lineRule="auto"/>
            </w:pPr>
            <w:r>
              <w:rPr>
                <w:rFonts w:ascii="Calibri" w:hAnsi="Calibri" w:eastAsia="Calibri" w:cs="Calibri"/>
                <w:b w:val="0"/>
                <w:i w:val="0"/>
                <w:color w:val="1F2937"/>
                <w:sz w:val="14"/>
              </w:rPr>
              <w:t>https://legis.delaware.gov/BillDetail/142429</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Washington RCW 49.58.110, wage or salary range disclosure</w:t>
            </w:r>
          </w:p>
        </w:tc>
        <w:tc>
          <w:tcPr>
            <w:tcW w:type="dxa" w:w="1247"/>
          </w:tcPr>
          <w:p>
            <w:pPr>
              <w:spacing w:before="0" w:after="20" w:line="240" w:lineRule="auto"/>
            </w:pPr>
            <w:r>
              <w:rPr>
                <w:rFonts w:ascii="Calibri" w:hAnsi="Calibri" w:eastAsia="Calibri" w:cs="Calibri"/>
                <w:b w:val="0"/>
                <w:i w:val="0"/>
                <w:color w:val="1F2937"/>
                <w:sz w:val="15"/>
              </w:rPr>
              <w:t>A11</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https://app.leg.wa.gov/RCW/default.aspx?cite=49.58.110</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Mass.gov, Pay transparency in Massachusetts</w:t>
            </w:r>
          </w:p>
        </w:tc>
        <w:tc>
          <w:tcPr>
            <w:tcW w:type="dxa" w:w="1247"/>
          </w:tcPr>
          <w:p>
            <w:pPr>
              <w:spacing w:before="0" w:after="20" w:line="240" w:lineRule="auto"/>
            </w:pPr>
            <w:r>
              <w:rPr>
                <w:rFonts w:ascii="Calibri" w:hAnsi="Calibri" w:eastAsia="Calibri" w:cs="Calibri"/>
                <w:b w:val="0"/>
                <w:i w:val="0"/>
                <w:color w:val="1F2937"/>
                <w:sz w:val="15"/>
              </w:rPr>
              <w:t>A12</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https://www.mass.gov/info-details/pay-transparency-in-massachusetts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EUR-Lex, Directive (EU) 2023/970 on pay transparency</w:t>
            </w:r>
          </w:p>
        </w:tc>
        <w:tc>
          <w:tcPr>
            <w:tcW w:type="dxa" w:w="1247"/>
          </w:tcPr>
          <w:p>
            <w:pPr>
              <w:spacing w:before="0" w:after="20" w:line="240" w:lineRule="auto"/>
            </w:pPr>
            <w:r>
              <w:rPr>
                <w:rFonts w:ascii="Calibri" w:hAnsi="Calibri" w:eastAsia="Calibri" w:cs="Calibri"/>
                <w:b w:val="0"/>
                <w:i w:val="0"/>
                <w:color w:val="1F2937"/>
                <w:sz w:val="15"/>
              </w:rPr>
              <w:t>A13</w:t>
            </w:r>
          </w:p>
        </w:tc>
        <w:tc>
          <w:tcPr>
            <w:tcW w:type="dxa" w:w="2154"/>
          </w:tcPr>
          <w:p>
            <w:pPr>
              <w:spacing w:before="0" w:after="20" w:line="240" w:lineRule="auto"/>
            </w:pPr>
            <w:r>
              <w:rPr>
                <w:rFonts w:ascii="Calibri" w:hAnsi="Calibri" w:eastAsia="Calibri" w:cs="Calibri"/>
                <w:b w:val="0"/>
                <w:i w:val="0"/>
                <w:color w:val="1F2937"/>
                <w:sz w:val="15"/>
              </w:rPr>
              <w:t>dated May 10, 2023</w:t>
            </w:r>
          </w:p>
        </w:tc>
        <w:tc>
          <w:tcPr>
            <w:tcW w:type="dxa" w:w="6746"/>
          </w:tcPr>
          <w:p>
            <w:pPr>
              <w:spacing w:before="0" w:after="20" w:line="240" w:lineRule="auto"/>
            </w:pPr>
            <w:r>
              <w:rPr>
                <w:rFonts w:ascii="Calibri" w:hAnsi="Calibri" w:eastAsia="Calibri" w:cs="Calibri"/>
                <w:b w:val="0"/>
                <w:i w:val="0"/>
                <w:color w:val="1F2937"/>
                <w:sz w:val="14"/>
              </w:rPr>
              <w:t>https://eur-lex.europa.eu/legal-content/EN/TXT/HTML/?uri=CELEX:32023L0970</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AI Act Service Desk, Article 113 (consolidated version as at Jul 27, 2026)</w:t>
            </w:r>
          </w:p>
        </w:tc>
        <w:tc>
          <w:tcPr>
            <w:tcW w:type="dxa" w:w="1247"/>
          </w:tcPr>
          <w:p>
            <w:pPr>
              <w:spacing w:before="0" w:after="20" w:line="240" w:lineRule="auto"/>
            </w:pPr>
            <w:r>
              <w:rPr>
                <w:rFonts w:ascii="Calibri" w:hAnsi="Calibri" w:eastAsia="Calibri" w:cs="Calibri"/>
                <w:b w:val="0"/>
                <w:i w:val="0"/>
                <w:color w:val="1F2937"/>
                <w:sz w:val="15"/>
              </w:rPr>
              <w:t>A14</w:t>
            </w:r>
          </w:p>
        </w:tc>
        <w:tc>
          <w:tcPr>
            <w:tcW w:type="dxa" w:w="2154"/>
          </w:tcPr>
          <w:p>
            <w:pPr>
              <w:spacing w:before="0" w:after="20" w:line="240" w:lineRule="auto"/>
            </w:pPr>
            <w:r>
              <w:rPr>
                <w:rFonts w:ascii="Calibri" w:hAnsi="Calibri" w:eastAsia="Calibri" w:cs="Calibri"/>
                <w:b w:val="0"/>
                <w:i w:val="0"/>
                <w:color w:val="1F2937"/>
                <w:sz w:val="15"/>
              </w:rPr>
              <w:t>as at Jul 27, 2026</w:t>
            </w:r>
          </w:p>
        </w:tc>
        <w:tc>
          <w:tcPr>
            <w:tcW w:type="dxa" w:w="6746"/>
          </w:tcPr>
          <w:p>
            <w:pPr>
              <w:spacing w:before="0" w:after="20" w:line="240" w:lineRule="auto"/>
            </w:pPr>
            <w:r>
              <w:rPr>
                <w:rFonts w:ascii="Calibri" w:hAnsi="Calibri" w:eastAsia="Calibri" w:cs="Calibri"/>
                <w:b w:val="0"/>
                <w:i w:val="0"/>
                <w:color w:val="1F2937"/>
                <w:sz w:val="14"/>
              </w:rPr>
              <w:t>https://ai-act-service-desk.ec.europa.eu/en/ai-act/article-113</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AI Act Service Desk, Annex III</w:t>
            </w:r>
          </w:p>
        </w:tc>
        <w:tc>
          <w:tcPr>
            <w:tcW w:type="dxa" w:w="1247"/>
          </w:tcPr>
          <w:p>
            <w:pPr>
              <w:spacing w:before="0" w:after="20" w:line="240" w:lineRule="auto"/>
            </w:pPr>
            <w:r>
              <w:rPr>
                <w:rFonts w:ascii="Calibri" w:hAnsi="Calibri" w:eastAsia="Calibri" w:cs="Calibri"/>
                <w:b w:val="0"/>
                <w:i w:val="0"/>
                <w:color w:val="1F2937"/>
                <w:sz w:val="15"/>
              </w:rPr>
              <w:t>A14</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https://ai-act-service-desk.ec.europa.eu/en/ai-act/annex-3</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AI Act Service Desk, Article 26 (consolidated version as at Jul 27, 2026)</w:t>
            </w:r>
          </w:p>
        </w:tc>
        <w:tc>
          <w:tcPr>
            <w:tcW w:type="dxa" w:w="1247"/>
          </w:tcPr>
          <w:p>
            <w:pPr>
              <w:spacing w:before="0" w:after="20" w:line="240" w:lineRule="auto"/>
            </w:pPr>
            <w:r>
              <w:rPr>
                <w:rFonts w:ascii="Calibri" w:hAnsi="Calibri" w:eastAsia="Calibri" w:cs="Calibri"/>
                <w:b w:val="0"/>
                <w:i w:val="0"/>
                <w:color w:val="1F2937"/>
                <w:sz w:val="15"/>
              </w:rPr>
              <w:t>A14</w:t>
            </w:r>
          </w:p>
        </w:tc>
        <w:tc>
          <w:tcPr>
            <w:tcW w:type="dxa" w:w="2154"/>
          </w:tcPr>
          <w:p>
            <w:pPr>
              <w:spacing w:before="0" w:after="20" w:line="240" w:lineRule="auto"/>
            </w:pPr>
            <w:r>
              <w:rPr>
                <w:rFonts w:ascii="Calibri" w:hAnsi="Calibri" w:eastAsia="Calibri" w:cs="Calibri"/>
                <w:b w:val="0"/>
                <w:i w:val="0"/>
                <w:color w:val="1F2937"/>
                <w:sz w:val="15"/>
              </w:rPr>
              <w:t>as at Jul 27, 2026</w:t>
            </w:r>
          </w:p>
        </w:tc>
        <w:tc>
          <w:tcPr>
            <w:tcW w:type="dxa" w:w="6746"/>
          </w:tcPr>
          <w:p>
            <w:pPr>
              <w:spacing w:before="0" w:after="20" w:line="240" w:lineRule="auto"/>
            </w:pPr>
            <w:r>
              <w:rPr>
                <w:rFonts w:ascii="Calibri" w:hAnsi="Calibri" w:eastAsia="Calibri" w:cs="Calibri"/>
                <w:b w:val="0"/>
                <w:i w:val="0"/>
                <w:color w:val="1F2937"/>
                <w:sz w:val="14"/>
              </w:rPr>
              <w:t>https://ai-act-service-desk.ec.europa.eu/en/ai-act/article-26</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Canada Gazette Part II, SI/2026-18 (order fixing the coming-into-force day)</w:t>
            </w:r>
          </w:p>
        </w:tc>
        <w:tc>
          <w:tcPr>
            <w:tcW w:type="dxa" w:w="1247"/>
          </w:tcPr>
          <w:p>
            <w:pPr>
              <w:spacing w:before="0" w:after="20" w:line="240" w:lineRule="auto"/>
            </w:pPr>
            <w:r>
              <w:rPr>
                <w:rFonts w:ascii="Calibri" w:hAnsi="Calibri" w:eastAsia="Calibri" w:cs="Calibri"/>
                <w:b w:val="0"/>
                <w:i w:val="0"/>
                <w:color w:val="1F2937"/>
                <w:sz w:val="15"/>
              </w:rPr>
              <w:t>A15</w:t>
            </w:r>
          </w:p>
        </w:tc>
        <w:tc>
          <w:tcPr>
            <w:tcW w:type="dxa" w:w="2154"/>
          </w:tcPr>
          <w:p>
            <w:pPr>
              <w:spacing w:before="0" w:after="20" w:line="240" w:lineRule="auto"/>
            </w:pPr>
            <w:r>
              <w:rPr>
                <w:rFonts w:ascii="Calibri" w:hAnsi="Calibri" w:eastAsia="Calibri" w:cs="Calibri"/>
                <w:b w:val="0"/>
                <w:i w:val="0"/>
                <w:color w:val="1F2937"/>
                <w:sz w:val="15"/>
              </w:rPr>
              <w:t>issue of May 6, 2026</w:t>
            </w:r>
          </w:p>
        </w:tc>
        <w:tc>
          <w:tcPr>
            <w:tcW w:type="dxa" w:w="6746"/>
          </w:tcPr>
          <w:p>
            <w:pPr>
              <w:spacing w:before="0" w:after="20" w:line="240" w:lineRule="auto"/>
            </w:pPr>
            <w:r>
              <w:rPr>
                <w:rFonts w:ascii="Calibri" w:hAnsi="Calibri" w:eastAsia="Calibri" w:cs="Calibri"/>
                <w:b w:val="0"/>
                <w:i w:val="0"/>
                <w:color w:val="1F2937"/>
                <w:sz w:val="14"/>
              </w:rPr>
              <w:t>https://gazette.gc.ca/rp-pr/p2/2026/2026-05-06/html/si-tr18-eng.html</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Canada Gazette Part II, SOR/2026-75 (equal treatment and temporary help agencies)</w:t>
            </w:r>
          </w:p>
        </w:tc>
        <w:tc>
          <w:tcPr>
            <w:tcW w:type="dxa" w:w="1247"/>
          </w:tcPr>
          <w:p>
            <w:pPr>
              <w:spacing w:before="0" w:after="20" w:line="240" w:lineRule="auto"/>
            </w:pPr>
            <w:r>
              <w:rPr>
                <w:rFonts w:ascii="Calibri" w:hAnsi="Calibri" w:eastAsia="Calibri" w:cs="Calibri"/>
                <w:b w:val="0"/>
                <w:i w:val="0"/>
                <w:color w:val="1F2937"/>
                <w:sz w:val="15"/>
              </w:rPr>
              <w:t>A15</w:t>
            </w:r>
          </w:p>
        </w:tc>
        <w:tc>
          <w:tcPr>
            <w:tcW w:type="dxa" w:w="2154"/>
          </w:tcPr>
          <w:p>
            <w:pPr>
              <w:spacing w:before="0" w:after="20" w:line="240" w:lineRule="auto"/>
            </w:pPr>
            <w:r>
              <w:rPr>
                <w:rFonts w:ascii="Calibri" w:hAnsi="Calibri" w:eastAsia="Calibri" w:cs="Calibri"/>
                <w:b w:val="0"/>
                <w:i w:val="0"/>
                <w:color w:val="1F2937"/>
                <w:sz w:val="15"/>
              </w:rPr>
              <w:t>issue of May 6, 2026</w:t>
            </w:r>
          </w:p>
        </w:tc>
        <w:tc>
          <w:tcPr>
            <w:tcW w:type="dxa" w:w="6746"/>
          </w:tcPr>
          <w:p>
            <w:pPr>
              <w:spacing w:before="0" w:after="20" w:line="240" w:lineRule="auto"/>
            </w:pPr>
            <w:r>
              <w:rPr>
                <w:rFonts w:ascii="Calibri" w:hAnsi="Calibri" w:eastAsia="Calibri" w:cs="Calibri"/>
                <w:b w:val="0"/>
                <w:i w:val="0"/>
                <w:color w:val="1F2937"/>
                <w:sz w:val="14"/>
              </w:rPr>
              <w:t>https://gazette.gc.ca/rp-pr/p2/2026/2026-05-06/html/sor-dors75-eng.html</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Ontario, Your guide to the Employment Standards Act, publicly advertised job postings</w:t>
            </w:r>
          </w:p>
        </w:tc>
        <w:tc>
          <w:tcPr>
            <w:tcW w:type="dxa" w:w="1247"/>
          </w:tcPr>
          <w:p>
            <w:pPr>
              <w:spacing w:before="0" w:after="20" w:line="240" w:lineRule="auto"/>
            </w:pPr>
            <w:r>
              <w:rPr>
                <w:rFonts w:ascii="Calibri" w:hAnsi="Calibri" w:eastAsia="Calibri" w:cs="Calibri"/>
                <w:b w:val="0"/>
                <w:i w:val="0"/>
                <w:color w:val="1F2937"/>
                <w:sz w:val="15"/>
              </w:rPr>
              <w:t>A16</w:t>
            </w:r>
          </w:p>
        </w:tc>
        <w:tc>
          <w:tcPr>
            <w:tcW w:type="dxa" w:w="2154"/>
          </w:tcPr>
          <w:p>
            <w:pPr>
              <w:spacing w:before="0" w:after="20" w:line="240" w:lineRule="auto"/>
            </w:pPr>
            <w:r>
              <w:rPr>
                <w:rFonts w:ascii="Calibri" w:hAnsi="Calibri" w:eastAsia="Calibri" w:cs="Calibri"/>
                <w:b w:val="0"/>
                <w:i w:val="0"/>
                <w:color w:val="1F2937"/>
                <w:sz w:val="15"/>
              </w:rPr>
              <w:t>updated Feb 24, 2026</w:t>
            </w:r>
          </w:p>
        </w:tc>
        <w:tc>
          <w:tcPr>
            <w:tcW w:type="dxa" w:w="6746"/>
          </w:tcPr>
          <w:p>
            <w:pPr>
              <w:spacing w:before="0" w:after="20" w:line="240" w:lineRule="auto"/>
            </w:pPr>
            <w:r>
              <w:rPr>
                <w:rFonts w:ascii="Calibri" w:hAnsi="Calibri" w:eastAsia="Calibri" w:cs="Calibri"/>
                <w:b w:val="0"/>
                <w:i w:val="0"/>
                <w:color w:val="1F2937"/>
                <w:sz w:val="14"/>
              </w:rPr>
              <w:t>https://www.ontario.ca/document/your-guide-employment-standards-act-0/requirements-related-publicly-advertised-job</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ATO, Payday Super: how to manage super during the changeover</w:t>
            </w:r>
          </w:p>
        </w:tc>
        <w:tc>
          <w:tcPr>
            <w:tcW w:type="dxa" w:w="1247"/>
          </w:tcPr>
          <w:p>
            <w:pPr>
              <w:spacing w:before="0" w:after="20" w:line="240" w:lineRule="auto"/>
            </w:pPr>
            <w:r>
              <w:rPr>
                <w:rFonts w:ascii="Calibri" w:hAnsi="Calibri" w:eastAsia="Calibri" w:cs="Calibri"/>
                <w:b w:val="0"/>
                <w:i w:val="0"/>
                <w:color w:val="1F2937"/>
                <w:sz w:val="15"/>
              </w:rPr>
              <w:t>A17</w:t>
            </w:r>
          </w:p>
        </w:tc>
        <w:tc>
          <w:tcPr>
            <w:tcW w:type="dxa" w:w="2154"/>
          </w:tcPr>
          <w:p>
            <w:pPr>
              <w:spacing w:before="0" w:after="20" w:line="240" w:lineRule="auto"/>
            </w:pPr>
            <w:r>
              <w:rPr>
                <w:rFonts w:ascii="Calibri" w:hAnsi="Calibri" w:eastAsia="Calibri" w:cs="Calibri"/>
                <w:b w:val="0"/>
                <w:i w:val="0"/>
                <w:color w:val="1F2937"/>
                <w:sz w:val="15"/>
              </w:rPr>
              <w:t>last updated Aug 10, 2026</w:t>
            </w:r>
          </w:p>
        </w:tc>
        <w:tc>
          <w:tcPr>
            <w:tcW w:type="dxa" w:w="6746"/>
          </w:tcPr>
          <w:p>
            <w:pPr>
              <w:spacing w:before="0" w:after="20" w:line="240" w:lineRule="auto"/>
            </w:pPr>
            <w:r>
              <w:rPr>
                <w:rFonts w:ascii="Calibri" w:hAnsi="Calibri" w:eastAsia="Calibri" w:cs="Calibri"/>
                <w:b w:val="0"/>
                <w:i w:val="0"/>
                <w:color w:val="1F2937"/>
                <w:sz w:val="14"/>
              </w:rPr>
              <w:t>https://www.ato.gov.au/businesses-and-organisations/super-for-employers/payday-super-how-to-manage-super-during-the-changeover</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ATO, Payday Super</w:t>
            </w:r>
          </w:p>
        </w:tc>
        <w:tc>
          <w:tcPr>
            <w:tcW w:type="dxa" w:w="1247"/>
          </w:tcPr>
          <w:p>
            <w:pPr>
              <w:spacing w:before="0" w:after="20" w:line="240" w:lineRule="auto"/>
            </w:pPr>
            <w:r>
              <w:rPr>
                <w:rFonts w:ascii="Calibri" w:hAnsi="Calibri" w:eastAsia="Calibri" w:cs="Calibri"/>
                <w:b w:val="0"/>
                <w:i w:val="0"/>
                <w:color w:val="1F2937"/>
                <w:sz w:val="15"/>
              </w:rPr>
              <w:t>A17</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https://www.ato.gov.au/businesses-and-organisations/super-for-employers/payday-super</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Fair Work Commission, Annual Wage Review 2026 decision announcement</w:t>
            </w:r>
          </w:p>
        </w:tc>
        <w:tc>
          <w:tcPr>
            <w:tcW w:type="dxa" w:w="1247"/>
          </w:tcPr>
          <w:p>
            <w:pPr>
              <w:spacing w:before="0" w:after="20" w:line="240" w:lineRule="auto"/>
            </w:pPr>
            <w:r>
              <w:rPr>
                <w:rFonts w:ascii="Calibri" w:hAnsi="Calibri" w:eastAsia="Calibri" w:cs="Calibri"/>
                <w:b w:val="0"/>
                <w:i w:val="0"/>
                <w:color w:val="1F2937"/>
                <w:sz w:val="15"/>
              </w:rPr>
              <w:t>A18</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https://www.fwc.gov.au/documents/resources/annual-wage-review-2026-decision-announcement.pdf</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OAIC, APP 1.7 to 1.9 transparency obligation fact sheet</w:t>
            </w:r>
          </w:p>
        </w:tc>
        <w:tc>
          <w:tcPr>
            <w:tcW w:type="dxa" w:w="1247"/>
          </w:tcPr>
          <w:p>
            <w:pPr>
              <w:spacing w:before="0" w:after="20" w:line="240" w:lineRule="auto"/>
            </w:pPr>
            <w:r>
              <w:rPr>
                <w:rFonts w:ascii="Calibri" w:hAnsi="Calibri" w:eastAsia="Calibri" w:cs="Calibri"/>
                <w:b w:val="0"/>
                <w:i w:val="0"/>
                <w:color w:val="1F2937"/>
                <w:sz w:val="15"/>
              </w:rPr>
              <w:t>A19</w:t>
            </w:r>
          </w:p>
        </w:tc>
        <w:tc>
          <w:tcPr>
            <w:tcW w:type="dxa" w:w="2154"/>
          </w:tcPr>
          <w:p>
            <w:pPr>
              <w:spacing w:before="0" w:after="20" w:line="240" w:lineRule="auto"/>
            </w:pPr>
            <w:r>
              <w:rPr>
                <w:rFonts w:ascii="Calibri" w:hAnsi="Calibri" w:eastAsia="Calibri" w:cs="Calibri"/>
                <w:b w:val="0"/>
                <w:i w:val="0"/>
                <w:color w:val="1F2937"/>
                <w:sz w:val="15"/>
              </w:rPr>
              <w:t>September 2026</w:t>
            </w:r>
          </w:p>
        </w:tc>
        <w:tc>
          <w:tcPr>
            <w:tcW w:type="dxa" w:w="6746"/>
          </w:tcPr>
          <w:p>
            <w:pPr>
              <w:spacing w:before="0" w:after="20" w:line="240" w:lineRule="auto"/>
            </w:pPr>
            <w:r>
              <w:rPr>
                <w:rFonts w:ascii="Calibri" w:hAnsi="Calibri" w:eastAsia="Calibri" w:cs="Calibri"/>
                <w:b w:val="0"/>
                <w:i w:val="0"/>
                <w:color w:val="1F2937"/>
                <w:sz w:val="14"/>
              </w:rPr>
              <w:t>https://www.oaic.gov.au/__data/assets/pdf_file/0021/269013/APP-1.7-1.9-Transparency-Obligation-Fact-Sheet.PDF</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Gesetze im Internet, Fifth Minimum Wage Adjustment Ordinance (MiLoV5)</w:t>
            </w:r>
          </w:p>
        </w:tc>
        <w:tc>
          <w:tcPr>
            <w:tcW w:type="dxa" w:w="1247"/>
          </w:tcPr>
          <w:p>
            <w:pPr>
              <w:spacing w:before="0" w:after="20" w:line="240" w:lineRule="auto"/>
            </w:pPr>
            <w:r>
              <w:rPr>
                <w:rFonts w:ascii="Calibri" w:hAnsi="Calibri" w:eastAsia="Calibri" w:cs="Calibri"/>
                <w:b w:val="0"/>
                <w:i w:val="0"/>
                <w:color w:val="1F2937"/>
                <w:sz w:val="15"/>
              </w:rPr>
              <w:t>A20, A21</w:t>
            </w:r>
          </w:p>
        </w:tc>
        <w:tc>
          <w:tcPr>
            <w:tcW w:type="dxa" w:w="2154"/>
          </w:tcPr>
          <w:p>
            <w:pPr>
              <w:spacing w:before="0" w:after="20" w:line="240" w:lineRule="auto"/>
            </w:pPr>
            <w:r>
              <w:rPr>
                <w:rFonts w:ascii="Calibri" w:hAnsi="Calibri" w:eastAsia="Calibri" w:cs="Calibri"/>
                <w:b w:val="0"/>
                <w:i w:val="0"/>
                <w:color w:val="1F2937"/>
                <w:sz w:val="15"/>
              </w:rPr>
              <w:t>issued Nov 5, 2025</w:t>
            </w:r>
          </w:p>
        </w:tc>
        <w:tc>
          <w:tcPr>
            <w:tcW w:type="dxa" w:w="6746"/>
          </w:tcPr>
          <w:p>
            <w:pPr>
              <w:spacing w:before="0" w:after="20" w:line="240" w:lineRule="auto"/>
            </w:pPr>
            <w:r>
              <w:rPr>
                <w:rFonts w:ascii="Calibri" w:hAnsi="Calibri" w:eastAsia="Calibri" w:cs="Calibri"/>
                <w:b w:val="0"/>
                <w:i w:val="0"/>
                <w:color w:val="1F2937"/>
                <w:sz w:val="14"/>
              </w:rPr>
              <w:t>https://www.gesetze-im-internet.de/milov5/BJNR10C0A0025.html</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BMAS, Bekanntmachung der Geringfügigkeitsgrenze nach § 8 Absatz 1a SGB IV, Bundesanzeiger BAnz AT 20.11.2025 B1</w:t>
            </w:r>
          </w:p>
        </w:tc>
        <w:tc>
          <w:tcPr>
            <w:tcW w:type="dxa" w:w="1247"/>
          </w:tcPr>
          <w:p>
            <w:pPr>
              <w:spacing w:before="0" w:after="20" w:line="240" w:lineRule="auto"/>
            </w:pPr>
            <w:r>
              <w:rPr>
                <w:rFonts w:ascii="Calibri" w:hAnsi="Calibri" w:eastAsia="Calibri" w:cs="Calibri"/>
                <w:b w:val="0"/>
                <w:i w:val="0"/>
                <w:color w:val="1F2937"/>
                <w:sz w:val="15"/>
              </w:rPr>
              <w:t>A21</w:t>
            </w:r>
          </w:p>
        </w:tc>
        <w:tc>
          <w:tcPr>
            <w:tcW w:type="dxa" w:w="2154"/>
          </w:tcPr>
          <w:p>
            <w:pPr>
              <w:spacing w:before="0" w:after="20" w:line="240" w:lineRule="auto"/>
            </w:pPr>
            <w:r>
              <w:rPr>
                <w:rFonts w:ascii="Calibri" w:hAnsi="Calibri" w:eastAsia="Calibri" w:cs="Calibri"/>
                <w:b w:val="0"/>
                <w:i w:val="0"/>
                <w:color w:val="1F2937"/>
                <w:sz w:val="15"/>
              </w:rPr>
              <w:t>notice dated Nov 7, 2025, published Nov 20, 2025</w:t>
            </w:r>
          </w:p>
        </w:tc>
        <w:tc>
          <w:tcPr>
            <w:tcW w:type="dxa" w:w="6746"/>
          </w:tcPr>
          <w:p>
            <w:pPr>
              <w:spacing w:before="0" w:after="20" w:line="240" w:lineRule="auto"/>
            </w:pPr>
            <w:r>
              <w:rPr>
                <w:rFonts w:ascii="Calibri" w:hAnsi="Calibri" w:eastAsia="Calibri" w:cs="Calibri"/>
                <w:b w:val="0"/>
                <w:i w:val="0"/>
                <w:color w:val="1F2937"/>
                <w:sz w:val="14"/>
              </w:rPr>
              <w:t>https://www.bundesanzeiger.de/pub/publication/VaPRG6wPGXte9CM3jI4/content/VaPRG6wPGXte9CM3jI4/BAnz%20AT%2020.11.2025%20B1.pdf?inline</w:t>
            </w:r>
          </w:p>
        </w:tc>
        <w:tc>
          <w:tcPr>
            <w:tcW w:type="dxa" w:w="1134"/>
          </w:tcPr>
          <w:p>
            <w:pPr>
              <w:spacing w:before="0" w:after="20" w:line="240" w:lineRule="auto"/>
            </w:pPr>
            <w:r>
              <w:rPr>
                <w:rFonts w:ascii="Calibri" w:hAnsi="Calibri" w:eastAsia="Calibri" w:cs="Calibri"/>
                <w:b w:val="0"/>
                <w:i w:val="0"/>
                <w:color w:val="1F2937"/>
                <w:sz w:val="15"/>
              </w:rPr>
              <w:t>2026-10-28</w:t>
            </w:r>
          </w:p>
        </w:tc>
      </w:tr>
      <w:tr>
        <w:trPr>
          <w:cantSplit w:val="true"/>
        </w:trPr>
        <w:tc>
          <w:tcPr>
            <w:tcW w:type="dxa" w:w="4422"/>
          </w:tcPr>
          <w:p>
            <w:pPr>
              <w:spacing w:before="0" w:after="20" w:line="240" w:lineRule="auto"/>
            </w:pPr>
            <w:r>
              <w:rPr>
                <w:rFonts w:ascii="Calibri" w:hAnsi="Calibri" w:eastAsia="Calibri" w:cs="Calibri"/>
                <w:b w:val="0"/>
                <w:i w:val="0"/>
                <w:color w:val="1F2937"/>
                <w:sz w:val="15"/>
              </w:rPr>
              <w:t>Gesetze im Internet, SGB IV section 8 (marginal employment)</w:t>
            </w:r>
          </w:p>
        </w:tc>
        <w:tc>
          <w:tcPr>
            <w:tcW w:type="dxa" w:w="1247"/>
          </w:tcPr>
          <w:p>
            <w:pPr>
              <w:spacing w:before="0" w:after="20" w:line="240" w:lineRule="auto"/>
            </w:pPr>
            <w:r>
              <w:rPr>
                <w:rFonts w:ascii="Calibri" w:hAnsi="Calibri" w:eastAsia="Calibri" w:cs="Calibri"/>
                <w:b w:val="0"/>
                <w:i w:val="0"/>
                <w:color w:val="1F2937"/>
                <w:sz w:val="15"/>
              </w:rPr>
              <w:t>A21</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https://www.gesetze-im-internet.de/sgb_4/__8.html</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Singapore MOM, Re-employment</w:t>
            </w:r>
          </w:p>
        </w:tc>
        <w:tc>
          <w:tcPr>
            <w:tcW w:type="dxa" w:w="1247"/>
          </w:tcPr>
          <w:p>
            <w:pPr>
              <w:spacing w:before="0" w:after="20" w:line="240" w:lineRule="auto"/>
            </w:pPr>
            <w:r>
              <w:rPr>
                <w:rFonts w:ascii="Calibri" w:hAnsi="Calibri" w:eastAsia="Calibri" w:cs="Calibri"/>
                <w:b w:val="0"/>
                <w:i w:val="0"/>
                <w:color w:val="1F2937"/>
                <w:sz w:val="15"/>
              </w:rPr>
              <w:t>A22</w:t>
            </w:r>
          </w:p>
        </w:tc>
        <w:tc>
          <w:tcPr>
            <w:tcW w:type="dxa" w:w="2154"/>
          </w:tcPr>
          <w:p>
            <w:pPr>
              <w:spacing w:before="0" w:after="20" w:line="240" w:lineRule="auto"/>
            </w:pPr>
            <w:r>
              <w:rPr>
                <w:rFonts w:ascii="Calibri" w:hAnsi="Calibri" w:eastAsia="Calibri" w:cs="Calibri"/>
                <w:b w:val="0"/>
                <w:i w:val="0"/>
                <w:color w:val="1F2937"/>
                <w:sz w:val="15"/>
              </w:rPr>
              <w:t>last updated Jul 3, 2026</w:t>
            </w:r>
          </w:p>
        </w:tc>
        <w:tc>
          <w:tcPr>
            <w:tcW w:type="dxa" w:w="6746"/>
          </w:tcPr>
          <w:p>
            <w:pPr>
              <w:spacing w:before="0" w:after="20" w:line="240" w:lineRule="auto"/>
            </w:pPr>
            <w:r>
              <w:rPr>
                <w:rFonts w:ascii="Calibri" w:hAnsi="Calibri" w:eastAsia="Calibri" w:cs="Calibri"/>
                <w:b w:val="0"/>
                <w:i w:val="0"/>
                <w:color w:val="1F2937"/>
                <w:sz w:val="14"/>
              </w:rPr>
              <w:t>https://www.mom.gov.sg/employment-practices/re-employment</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UAE MoHRE, news item on the Emirati minimum wage</w:t>
            </w:r>
          </w:p>
        </w:tc>
        <w:tc>
          <w:tcPr>
            <w:tcW w:type="dxa" w:w="1247"/>
          </w:tcPr>
          <w:p>
            <w:pPr>
              <w:spacing w:before="0" w:after="20" w:line="240" w:lineRule="auto"/>
            </w:pPr>
            <w:r>
              <w:rPr>
                <w:rFonts w:ascii="Calibri" w:hAnsi="Calibri" w:eastAsia="Calibri" w:cs="Calibri"/>
                <w:b w:val="0"/>
                <w:i w:val="0"/>
                <w:color w:val="1F2937"/>
                <w:sz w:val="15"/>
              </w:rPr>
              <w:t>A23</w:t>
            </w:r>
          </w:p>
        </w:tc>
        <w:tc>
          <w:tcPr>
            <w:tcW w:type="dxa" w:w="2154"/>
          </w:tcPr>
          <w:p>
            <w:pPr>
              <w:spacing w:before="0" w:after="20" w:line="240" w:lineRule="auto"/>
            </w:pPr>
            <w:r>
              <w:rPr>
                <w:rFonts w:ascii="Calibri" w:hAnsi="Calibri" w:eastAsia="Calibri" w:cs="Calibri"/>
                <w:b w:val="0"/>
                <w:i w:val="0"/>
                <w:color w:val="1F2937"/>
                <w:sz w:val="15"/>
              </w:rPr>
              <w:t>Dec 31, 2025</w:t>
            </w:r>
          </w:p>
        </w:tc>
        <w:tc>
          <w:tcPr>
            <w:tcW w:type="dxa" w:w="6746"/>
          </w:tcPr>
          <w:p>
            <w:pPr>
              <w:spacing w:before="0" w:after="20" w:line="240" w:lineRule="auto"/>
            </w:pPr>
            <w:r>
              <w:rPr>
                <w:rFonts w:ascii="Calibri" w:hAnsi="Calibri" w:eastAsia="Calibri" w:cs="Calibri"/>
                <w:b w:val="0"/>
                <w:i w:val="0"/>
                <w:color w:val="1F2937"/>
                <w:sz w:val="14"/>
              </w:rPr>
              <w:t>https://mohre.gov.ae/en/media-center/news/31/12/2025/mohre-raises-minimum-wage-for-emiratis-in-the-private-sector-to-aed-6000-per-month-effective-1</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u.ae, Emiratis' employment in the private sector</w:t>
            </w:r>
          </w:p>
        </w:tc>
        <w:tc>
          <w:tcPr>
            <w:tcW w:type="dxa" w:w="1247"/>
          </w:tcPr>
          <w:p>
            <w:pPr>
              <w:spacing w:before="0" w:after="20" w:line="240" w:lineRule="auto"/>
            </w:pPr>
            <w:r>
              <w:rPr>
                <w:rFonts w:ascii="Calibri" w:hAnsi="Calibri" w:eastAsia="Calibri" w:cs="Calibri"/>
                <w:b w:val="0"/>
                <w:i w:val="0"/>
                <w:color w:val="1F2937"/>
                <w:sz w:val="15"/>
              </w:rPr>
              <w:t>A23</w:t>
            </w:r>
          </w:p>
        </w:tc>
        <w:tc>
          <w:tcPr>
            <w:tcW w:type="dxa" w:w="2154"/>
          </w:tcPr>
          <w:p>
            <w:pPr>
              <w:spacing w:before="0" w:after="20" w:line="240" w:lineRule="auto"/>
            </w:pPr>
            <w:r>
              <w:rPr>
                <w:rFonts w:ascii="Calibri" w:hAnsi="Calibri" w:eastAsia="Calibri" w:cs="Calibri"/>
                <w:b w:val="0"/>
                <w:i w:val="0"/>
                <w:color w:val="1F2937"/>
                <w:sz w:val="15"/>
              </w:rPr>
              <w:t>updated Oct 15, 2026</w:t>
            </w:r>
          </w:p>
        </w:tc>
        <w:tc>
          <w:tcPr>
            <w:tcW w:type="dxa" w:w="6746"/>
          </w:tcPr>
          <w:p>
            <w:pPr>
              <w:spacing w:before="0" w:after="20" w:line="240" w:lineRule="auto"/>
            </w:pPr>
            <w:r>
              <w:rPr>
                <w:rFonts w:ascii="Calibri" w:hAnsi="Calibri" w:eastAsia="Calibri" w:cs="Calibri"/>
                <w:b w:val="0"/>
                <w:i w:val="0"/>
                <w:color w:val="1F2937"/>
                <w:sz w:val="14"/>
              </w:rPr>
              <w:t>https://u.ae/en/information-and-services/jobs/Sector-of-employment/employment-in-the-private-sector/emiratis-employment-in-private-sector</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u.ae, Working hours in the private sector</w:t>
            </w:r>
          </w:p>
        </w:tc>
        <w:tc>
          <w:tcPr>
            <w:tcW w:type="dxa" w:w="1247"/>
          </w:tcPr>
          <w:p>
            <w:pPr>
              <w:spacing w:before="0" w:after="20" w:line="240" w:lineRule="auto"/>
            </w:pPr>
            <w:r>
              <w:rPr>
                <w:rFonts w:ascii="Calibri" w:hAnsi="Calibri" w:eastAsia="Calibri" w:cs="Calibri"/>
                <w:b w:val="0"/>
                <w:i w:val="0"/>
                <w:color w:val="1F2937"/>
                <w:sz w:val="15"/>
              </w:rPr>
              <w:t>A24</w:t>
            </w:r>
          </w:p>
        </w:tc>
        <w:tc>
          <w:tcPr>
            <w:tcW w:type="dxa" w:w="2154"/>
          </w:tcPr>
          <w:p>
            <w:pPr>
              <w:spacing w:before="0" w:after="20" w:line="240" w:lineRule="auto"/>
            </w:pPr>
            <w:r>
              <w:rPr>
                <w:rFonts w:ascii="Calibri" w:hAnsi="Calibri" w:eastAsia="Calibri" w:cs="Calibri"/>
                <w:b w:val="0"/>
                <w:i w:val="0"/>
                <w:color w:val="1F2937"/>
                <w:sz w:val="15"/>
              </w:rPr>
              <w:t>updated Aug 12, 2026</w:t>
            </w:r>
          </w:p>
        </w:tc>
        <w:tc>
          <w:tcPr>
            <w:tcW w:type="dxa" w:w="6746"/>
          </w:tcPr>
          <w:p>
            <w:pPr>
              <w:spacing w:before="0" w:after="20" w:line="240" w:lineRule="auto"/>
            </w:pPr>
            <w:r>
              <w:rPr>
                <w:rFonts w:ascii="Calibri" w:hAnsi="Calibri" w:eastAsia="Calibri" w:cs="Calibri"/>
                <w:b w:val="0"/>
                <w:i w:val="0"/>
                <w:color w:val="1F2937"/>
                <w:sz w:val="14"/>
              </w:rPr>
              <w:t>https://u.ae/en/information-and-services/jobs/Sector-of-employment/employment-in-the-private-sector/working-hours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India Ministry of Labour and Employment, additional FAQs on the Labour Codes</w:t>
            </w:r>
          </w:p>
        </w:tc>
        <w:tc>
          <w:tcPr>
            <w:tcW w:type="dxa" w:w="1247"/>
          </w:tcPr>
          <w:p>
            <w:pPr>
              <w:spacing w:before="0" w:after="20" w:line="240" w:lineRule="auto"/>
            </w:pPr>
            <w:r>
              <w:rPr>
                <w:rFonts w:ascii="Calibri" w:hAnsi="Calibri" w:eastAsia="Calibri" w:cs="Calibri"/>
                <w:b w:val="0"/>
                <w:i w:val="0"/>
                <w:color w:val="1F2937"/>
                <w:sz w:val="15"/>
              </w:rPr>
              <w:t>A25, A26</w:t>
            </w:r>
          </w:p>
        </w:tc>
        <w:tc>
          <w:tcPr>
            <w:tcW w:type="dxa" w:w="2154"/>
          </w:tcPr>
          <w:p>
            <w:pPr>
              <w:spacing w:before="0" w:after="20" w:line="240" w:lineRule="auto"/>
            </w:pPr>
            <w:r>
              <w:rPr>
                <w:rFonts w:ascii="Calibri" w:hAnsi="Calibri" w:eastAsia="Calibri" w:cs="Calibri"/>
                <w:b w:val="0"/>
                <w:i w:val="0"/>
                <w:color w:val="1F2937"/>
                <w:sz w:val="15"/>
              </w:rPr>
              <w:t>as on Mar 16, 2026</w:t>
            </w:r>
          </w:p>
        </w:tc>
        <w:tc>
          <w:tcPr>
            <w:tcW w:type="dxa" w:w="6746"/>
          </w:tcPr>
          <w:p>
            <w:pPr>
              <w:spacing w:before="0" w:after="20" w:line="240" w:lineRule="auto"/>
            </w:pPr>
            <w:r>
              <w:rPr>
                <w:rFonts w:ascii="Calibri" w:hAnsi="Calibri" w:eastAsia="Calibri" w:cs="Calibri"/>
                <w:b w:val="0"/>
                <w:i w:val="0"/>
                <w:color w:val="1F2937"/>
                <w:sz w:val="14"/>
              </w:rPr>
              <w:t>https://www.labour.gov.in/static/uploads/2026/03/a4ccf4c6d97c4f1f36a6d83f8c64213d.pdf</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India Ministry of Labour and Employment, compliance handbook (Central Government sphere)</w:t>
            </w:r>
          </w:p>
        </w:tc>
        <w:tc>
          <w:tcPr>
            <w:tcW w:type="dxa" w:w="1247"/>
          </w:tcPr>
          <w:p>
            <w:pPr>
              <w:spacing w:before="0" w:after="20" w:line="240" w:lineRule="auto"/>
            </w:pPr>
            <w:r>
              <w:rPr>
                <w:rFonts w:ascii="Calibri" w:hAnsi="Calibri" w:eastAsia="Calibri" w:cs="Calibri"/>
                <w:b w:val="0"/>
                <w:i w:val="0"/>
                <w:color w:val="1F2937"/>
                <w:sz w:val="15"/>
              </w:rPr>
              <w:t>A25, A26</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https://www.labour.gov.in/static/uploads/2026/02/83978455025732b99b0165def80ab171.pdf</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India PIB, release on the four Labour Codes</w:t>
            </w:r>
          </w:p>
        </w:tc>
        <w:tc>
          <w:tcPr>
            <w:tcW w:type="dxa" w:w="1247"/>
          </w:tcPr>
          <w:p>
            <w:pPr>
              <w:spacing w:before="0" w:after="20" w:line="240" w:lineRule="auto"/>
            </w:pPr>
            <w:r>
              <w:rPr>
                <w:rFonts w:ascii="Calibri" w:hAnsi="Calibri" w:eastAsia="Calibri" w:cs="Calibri"/>
                <w:b w:val="0"/>
                <w:i w:val="0"/>
                <w:color w:val="1F2937"/>
                <w:sz w:val="15"/>
              </w:rPr>
              <w:t>A26, A27</w:t>
            </w:r>
          </w:p>
        </w:tc>
        <w:tc>
          <w:tcPr>
            <w:tcW w:type="dxa" w:w="2154"/>
          </w:tcPr>
          <w:p>
            <w:pPr>
              <w:spacing w:before="0" w:after="20" w:line="240" w:lineRule="auto"/>
            </w:pPr>
            <w:r>
              <w:rPr>
                <w:rFonts w:ascii="Calibri" w:hAnsi="Calibri" w:eastAsia="Calibri" w:cs="Calibri"/>
                <w:b w:val="0"/>
                <w:i w:val="0"/>
                <w:color w:val="1F2937"/>
                <w:sz w:val="15"/>
              </w:rPr>
              <w:t>posted Nov 21, 2025</w:t>
            </w:r>
          </w:p>
        </w:tc>
        <w:tc>
          <w:tcPr>
            <w:tcW w:type="dxa" w:w="6746"/>
          </w:tcPr>
          <w:p>
            <w:pPr>
              <w:spacing w:before="0" w:after="20" w:line="240" w:lineRule="auto"/>
            </w:pPr>
            <w:r>
              <w:rPr>
                <w:rFonts w:ascii="Calibri" w:hAnsi="Calibri" w:eastAsia="Calibri" w:cs="Calibri"/>
                <w:b w:val="0"/>
                <w:i w:val="0"/>
                <w:color w:val="1F2937"/>
                <w:sz w:val="14"/>
              </w:rPr>
              <w:t>https://www.pib.gov.in/PressReleseDetailm.aspx?PRID=2192463&amp;reg=3&amp;lang=2</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India PIB, release on the Labour Codes</w:t>
            </w:r>
          </w:p>
        </w:tc>
        <w:tc>
          <w:tcPr>
            <w:tcW w:type="dxa" w:w="1247"/>
          </w:tcPr>
          <w:p>
            <w:pPr>
              <w:spacing w:before="0" w:after="20" w:line="240" w:lineRule="auto"/>
            </w:pPr>
            <w:r>
              <w:rPr>
                <w:rFonts w:ascii="Calibri" w:hAnsi="Calibri" w:eastAsia="Calibri" w:cs="Calibri"/>
                <w:b w:val="0"/>
                <w:i w:val="0"/>
                <w:color w:val="1F2937"/>
                <w:sz w:val="15"/>
              </w:rPr>
              <w:t>A27</w:t>
            </w:r>
          </w:p>
        </w:tc>
        <w:tc>
          <w:tcPr>
            <w:tcW w:type="dxa" w:w="2154"/>
          </w:tcPr>
          <w:p>
            <w:pPr>
              <w:spacing w:before="0" w:after="20" w:line="240" w:lineRule="auto"/>
            </w:pPr>
            <w:r>
              <w:rPr>
                <w:rFonts w:ascii="Calibri" w:hAnsi="Calibri" w:eastAsia="Calibri" w:cs="Calibri"/>
                <w:b w:val="0"/>
                <w:i w:val="0"/>
                <w:color w:val="1F2937"/>
                <w:sz w:val="15"/>
              </w:rPr>
              <w:t>posted Feb 5, 2026</w:t>
            </w:r>
          </w:p>
        </w:tc>
        <w:tc>
          <w:tcPr>
            <w:tcW w:type="dxa" w:w="6746"/>
          </w:tcPr>
          <w:p>
            <w:pPr>
              <w:spacing w:before="0" w:after="20" w:line="240" w:lineRule="auto"/>
            </w:pPr>
            <w:r>
              <w:rPr>
                <w:rFonts w:ascii="Calibri" w:hAnsi="Calibri" w:eastAsia="Calibri" w:cs="Calibri"/>
                <w:b w:val="0"/>
                <w:i w:val="0"/>
                <w:color w:val="1F2937"/>
                <w:sz w:val="14"/>
              </w:rPr>
              <w:t>https://www.pib.gov.in/PressReleasePage.aspx?PRID=2223852&amp;reg=3&amp;lang=2</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GOV.UK, Plan to Make Work Pay and Employment Rights Act timeline update</w:t>
            </w:r>
          </w:p>
        </w:tc>
        <w:tc>
          <w:tcPr>
            <w:tcW w:type="dxa" w:w="1247"/>
          </w:tcPr>
          <w:p>
            <w:pPr>
              <w:spacing w:before="0" w:after="20" w:line="240" w:lineRule="auto"/>
            </w:pPr>
            <w:r>
              <w:rPr>
                <w:rFonts w:ascii="Calibri" w:hAnsi="Calibri" w:eastAsia="Calibri" w:cs="Calibri"/>
                <w:b w:val="0"/>
                <w:i w:val="0"/>
                <w:color w:val="1F2937"/>
                <w:sz w:val="15"/>
              </w:rPr>
              <w:t>B1, B2, B3, B4, B5, B6, B7, B8</w:t>
            </w:r>
          </w:p>
        </w:tc>
        <w:tc>
          <w:tcPr>
            <w:tcW w:type="dxa" w:w="2154"/>
          </w:tcPr>
          <w:p>
            <w:pPr>
              <w:spacing w:before="0" w:after="20" w:line="240" w:lineRule="auto"/>
            </w:pPr>
            <w:r>
              <w:rPr>
                <w:rFonts w:ascii="Calibri" w:hAnsi="Calibri" w:eastAsia="Calibri" w:cs="Calibri"/>
                <w:b w:val="0"/>
                <w:i w:val="0"/>
                <w:color w:val="1F2937"/>
                <w:sz w:val="15"/>
              </w:rPr>
              <w:t>updated Oct 22, 2026</w:t>
            </w:r>
          </w:p>
        </w:tc>
        <w:tc>
          <w:tcPr>
            <w:tcW w:type="dxa" w:w="6746"/>
          </w:tcPr>
          <w:p>
            <w:pPr>
              <w:spacing w:before="0" w:after="20" w:line="240" w:lineRule="auto"/>
            </w:pPr>
            <w:r>
              <w:rPr>
                <w:rFonts w:ascii="Calibri" w:hAnsi="Calibri" w:eastAsia="Calibri" w:cs="Calibri"/>
                <w:b w:val="0"/>
                <w:i w:val="0"/>
                <w:color w:val="1F2937"/>
                <w:sz w:val="14"/>
              </w:rPr>
              <w:t>https://www.gov.uk/government/publications/implementing-the-plan-to-make-work-pay-and-employment-rights-act/plan-to-make-work-pay-and-employment-rights-act-timeline-update</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legislation.gov.uk, Employment Rights Act 2025, section 58</w:t>
            </w:r>
          </w:p>
        </w:tc>
        <w:tc>
          <w:tcPr>
            <w:tcW w:type="dxa" w:w="1247"/>
          </w:tcPr>
          <w:p>
            <w:pPr>
              <w:spacing w:before="0" w:after="20" w:line="240" w:lineRule="auto"/>
            </w:pPr>
            <w:r>
              <w:rPr>
                <w:rFonts w:ascii="Calibri" w:hAnsi="Calibri" w:eastAsia="Calibri" w:cs="Calibri"/>
                <w:b w:val="0"/>
                <w:i w:val="0"/>
                <w:color w:val="1F2937"/>
                <w:sz w:val="15"/>
              </w:rPr>
              <w:t>B1</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https://www.legislation.gov.uk/ukpga/2025/36/section/58</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legislation.gov.uk, Employment Rights Act 2025, section 14</w:t>
            </w:r>
          </w:p>
        </w:tc>
        <w:tc>
          <w:tcPr>
            <w:tcW w:type="dxa" w:w="1247"/>
          </w:tcPr>
          <w:p>
            <w:pPr>
              <w:spacing w:before="0" w:after="20" w:line="240" w:lineRule="auto"/>
            </w:pPr>
            <w:r>
              <w:rPr>
                <w:rFonts w:ascii="Calibri" w:hAnsi="Calibri" w:eastAsia="Calibri" w:cs="Calibri"/>
                <w:b w:val="0"/>
                <w:i w:val="0"/>
                <w:color w:val="1F2937"/>
                <w:sz w:val="15"/>
              </w:rPr>
              <w:t>B2</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https://www.legislation.gov.uk/ukpga/2025/36/section/14</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GOV.UK, Employment Rights Act 2025 overview factsheet</w:t>
            </w:r>
          </w:p>
        </w:tc>
        <w:tc>
          <w:tcPr>
            <w:tcW w:type="dxa" w:w="1247"/>
          </w:tcPr>
          <w:p>
            <w:pPr>
              <w:spacing w:before="0" w:after="20" w:line="240" w:lineRule="auto"/>
            </w:pPr>
            <w:r>
              <w:rPr>
                <w:rFonts w:ascii="Calibri" w:hAnsi="Calibri" w:eastAsia="Calibri" w:cs="Calibri"/>
                <w:b w:val="0"/>
                <w:i w:val="0"/>
                <w:color w:val="1F2937"/>
                <w:sz w:val="15"/>
              </w:rPr>
              <w:t>B3, B5, B6, B7, B8</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https://assets.publishing.service.gov.uk/media/696fabb3c0f4afaa9536a0f2/employment-rights-act-2025-overview-factsheet.pdf</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legislation.gov.uk, Employment Rights Act 2025, section 28</w:t>
            </w:r>
          </w:p>
        </w:tc>
        <w:tc>
          <w:tcPr>
            <w:tcW w:type="dxa" w:w="1247"/>
          </w:tcPr>
          <w:p>
            <w:pPr>
              <w:spacing w:before="0" w:after="20" w:line="240" w:lineRule="auto"/>
            </w:pPr>
            <w:r>
              <w:rPr>
                <w:rFonts w:ascii="Calibri" w:hAnsi="Calibri" w:eastAsia="Calibri" w:cs="Calibri"/>
                <w:b w:val="0"/>
                <w:i w:val="0"/>
                <w:color w:val="1F2937"/>
                <w:sz w:val="15"/>
              </w:rPr>
              <w:t>B3</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https://www.legislation.gov.uk/ukpga/2025/36/section/28</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legislation.gov.uk, Employment Rights Act 2025, section 18</w:t>
            </w:r>
          </w:p>
        </w:tc>
        <w:tc>
          <w:tcPr>
            <w:tcW w:type="dxa" w:w="1247"/>
          </w:tcPr>
          <w:p>
            <w:pPr>
              <w:spacing w:before="0" w:after="20" w:line="240" w:lineRule="auto"/>
            </w:pPr>
            <w:r>
              <w:rPr>
                <w:rFonts w:ascii="Calibri" w:hAnsi="Calibri" w:eastAsia="Calibri" w:cs="Calibri"/>
                <w:b w:val="0"/>
                <w:i w:val="0"/>
                <w:color w:val="1F2937"/>
                <w:sz w:val="15"/>
              </w:rPr>
              <w:t>B4</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https://www.legislation.gov.uk/ukpga/2025/36/section/18</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legislation.gov.uk, Employment Rights Act 2025, section 29</w:t>
            </w:r>
          </w:p>
        </w:tc>
        <w:tc>
          <w:tcPr>
            <w:tcW w:type="dxa" w:w="1247"/>
          </w:tcPr>
          <w:p>
            <w:pPr>
              <w:spacing w:before="0" w:after="20" w:line="240" w:lineRule="auto"/>
            </w:pPr>
            <w:r>
              <w:rPr>
                <w:rFonts w:ascii="Calibri" w:hAnsi="Calibri" w:eastAsia="Calibri" w:cs="Calibri"/>
                <w:b w:val="0"/>
                <w:i w:val="0"/>
                <w:color w:val="1F2937"/>
                <w:sz w:val="15"/>
              </w:rPr>
              <w:t>B5</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https://www.legislation.gov.uk/ukpga/2025/36/section/29</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legislation.gov.uk, Employment Rights Act 2025, section 24</w:t>
            </w:r>
          </w:p>
        </w:tc>
        <w:tc>
          <w:tcPr>
            <w:tcW w:type="dxa" w:w="1247"/>
          </w:tcPr>
          <w:p>
            <w:pPr>
              <w:spacing w:before="0" w:after="20" w:line="240" w:lineRule="auto"/>
            </w:pPr>
            <w:r>
              <w:rPr>
                <w:rFonts w:ascii="Calibri" w:hAnsi="Calibri" w:eastAsia="Calibri" w:cs="Calibri"/>
                <w:b w:val="0"/>
                <w:i w:val="0"/>
                <w:color w:val="1F2937"/>
                <w:sz w:val="15"/>
              </w:rPr>
              <w:t>B6</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https://www.legislation.gov.uk/ukpga/2025/36/section/24</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legislation.gov.uk, Employment Rights Act 2025, section 26</w:t>
            </w:r>
          </w:p>
        </w:tc>
        <w:tc>
          <w:tcPr>
            <w:tcW w:type="dxa" w:w="1247"/>
          </w:tcPr>
          <w:p>
            <w:pPr>
              <w:spacing w:before="0" w:after="20" w:line="240" w:lineRule="auto"/>
            </w:pPr>
            <w:r>
              <w:rPr>
                <w:rFonts w:ascii="Calibri" w:hAnsi="Calibri" w:eastAsia="Calibri" w:cs="Calibri"/>
                <w:b w:val="0"/>
                <w:i w:val="0"/>
                <w:color w:val="1F2937"/>
                <w:sz w:val="15"/>
              </w:rPr>
              <w:t>B7</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https://www.legislation.gov.uk/ukpga/2025/36/section/26</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legislation.gov.uk, Employment Rights Act 2025, section 9</w:t>
            </w:r>
          </w:p>
        </w:tc>
        <w:tc>
          <w:tcPr>
            <w:tcW w:type="dxa" w:w="1247"/>
          </w:tcPr>
          <w:p>
            <w:pPr>
              <w:spacing w:before="0" w:after="20" w:line="240" w:lineRule="auto"/>
            </w:pPr>
            <w:r>
              <w:rPr>
                <w:rFonts w:ascii="Calibri" w:hAnsi="Calibri" w:eastAsia="Calibri" w:cs="Calibri"/>
                <w:b w:val="0"/>
                <w:i w:val="0"/>
                <w:color w:val="1F2937"/>
                <w:sz w:val="15"/>
              </w:rPr>
              <w:t>B8</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https://www.legislation.gov.uk/ukpga/2025/36/section/9</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Maine Department of Labor, news item on 2027 minimum wage and overtime salary threshold</w:t>
            </w:r>
          </w:p>
        </w:tc>
        <w:tc>
          <w:tcPr>
            <w:tcW w:type="dxa" w:w="1247"/>
          </w:tcPr>
          <w:p>
            <w:pPr>
              <w:spacing w:before="0" w:after="20" w:line="240" w:lineRule="auto"/>
            </w:pPr>
            <w:r>
              <w:rPr>
                <w:rFonts w:ascii="Calibri" w:hAnsi="Calibri" w:eastAsia="Calibri" w:cs="Calibri"/>
                <w:b w:val="0"/>
                <w:i w:val="0"/>
                <w:color w:val="1F2937"/>
                <w:sz w:val="15"/>
              </w:rPr>
              <w:t>B9</w:t>
            </w:r>
          </w:p>
        </w:tc>
        <w:tc>
          <w:tcPr>
            <w:tcW w:type="dxa" w:w="2154"/>
          </w:tcPr>
          <w:p>
            <w:pPr>
              <w:spacing w:before="0" w:after="20" w:line="240" w:lineRule="auto"/>
            </w:pPr>
            <w:r>
              <w:rPr>
                <w:rFonts w:ascii="Calibri" w:hAnsi="Calibri" w:eastAsia="Calibri" w:cs="Calibri"/>
                <w:b w:val="0"/>
                <w:i w:val="0"/>
                <w:color w:val="1F2937"/>
                <w:sz w:val="15"/>
              </w:rPr>
              <w:t>Sep 18, 2026</w:t>
            </w:r>
          </w:p>
        </w:tc>
        <w:tc>
          <w:tcPr>
            <w:tcW w:type="dxa" w:w="6746"/>
          </w:tcPr>
          <w:p>
            <w:pPr>
              <w:spacing w:before="0" w:after="20" w:line="240" w:lineRule="auto"/>
            </w:pPr>
            <w:r>
              <w:rPr>
                <w:rFonts w:ascii="Calibri" w:hAnsi="Calibri" w:eastAsia="Calibri" w:cs="Calibri"/>
                <w:b w:val="0"/>
                <w:i w:val="0"/>
                <w:color w:val="1F2937"/>
                <w:sz w:val="14"/>
              </w:rPr>
              <w:t>https://www.maine.gov/labor/news_events/article.shtml?id=13362373</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California Department of Industrial Relations, news release 2026-66</w:t>
            </w:r>
          </w:p>
        </w:tc>
        <w:tc>
          <w:tcPr>
            <w:tcW w:type="dxa" w:w="1247"/>
          </w:tcPr>
          <w:p>
            <w:pPr>
              <w:spacing w:before="0" w:after="20" w:line="240" w:lineRule="auto"/>
            </w:pPr>
            <w:r>
              <w:rPr>
                <w:rFonts w:ascii="Calibri" w:hAnsi="Calibri" w:eastAsia="Calibri" w:cs="Calibri"/>
                <w:b w:val="0"/>
                <w:i w:val="0"/>
                <w:color w:val="1F2937"/>
                <w:sz w:val="15"/>
              </w:rPr>
              <w:t>B10</w:t>
            </w:r>
          </w:p>
        </w:tc>
        <w:tc>
          <w:tcPr>
            <w:tcW w:type="dxa" w:w="2154"/>
          </w:tcPr>
          <w:p>
            <w:pPr>
              <w:spacing w:before="0" w:after="20" w:line="240" w:lineRule="auto"/>
            </w:pPr>
            <w:r>
              <w:rPr>
                <w:rFonts w:ascii="Calibri" w:hAnsi="Calibri" w:eastAsia="Calibri" w:cs="Calibri"/>
                <w:b w:val="0"/>
                <w:i w:val="0"/>
                <w:color w:val="1F2937"/>
                <w:sz w:val="15"/>
              </w:rPr>
              <w:t>released Aug 13, 2026</w:t>
            </w:r>
          </w:p>
        </w:tc>
        <w:tc>
          <w:tcPr>
            <w:tcW w:type="dxa" w:w="6746"/>
          </w:tcPr>
          <w:p>
            <w:pPr>
              <w:spacing w:before="0" w:after="20" w:line="240" w:lineRule="auto"/>
            </w:pPr>
            <w:r>
              <w:rPr>
                <w:rFonts w:ascii="Calibri" w:hAnsi="Calibri" w:eastAsia="Calibri" w:cs="Calibri"/>
                <w:b w:val="0"/>
                <w:i w:val="0"/>
                <w:color w:val="1F2937"/>
                <w:sz w:val="14"/>
              </w:rPr>
              <w:t>https://www.dir.ca.gov/DIRNews/2026/2026-66.html</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Federal Trade Commission, Noncompete Rule page</w:t>
            </w:r>
          </w:p>
        </w:tc>
        <w:tc>
          <w:tcPr>
            <w:tcW w:type="dxa" w:w="1247"/>
          </w:tcPr>
          <w:p>
            <w:pPr>
              <w:spacing w:before="0" w:after="20" w:line="240" w:lineRule="auto"/>
            </w:pPr>
            <w:r>
              <w:rPr>
                <w:rFonts w:ascii="Calibri" w:hAnsi="Calibri" w:eastAsia="Calibri" w:cs="Calibri"/>
                <w:b w:val="0"/>
                <w:i w:val="0"/>
                <w:color w:val="1F2937"/>
                <w:sz w:val="15"/>
              </w:rPr>
              <w:t>B11</w:t>
            </w:r>
          </w:p>
        </w:tc>
        <w:tc>
          <w:tcPr>
            <w:tcW w:type="dxa" w:w="2154"/>
          </w:tcPr>
          <w:p>
            <w:pPr>
              <w:spacing w:before="0" w:after="20" w:line="240" w:lineRule="auto"/>
            </w:pPr>
            <w:r>
              <w:rPr>
                <w:rFonts w:ascii="Calibri" w:hAnsi="Calibri" w:eastAsia="Calibri" w:cs="Calibri"/>
                <w:b w:val="0"/>
                <w:i w:val="0"/>
                <w:color w:val="1F2937"/>
                <w:sz w:val="15"/>
              </w:rPr>
              <w:t>page updated Apr 20, 2026</w:t>
            </w:r>
          </w:p>
        </w:tc>
        <w:tc>
          <w:tcPr>
            <w:tcW w:type="dxa" w:w="6746"/>
          </w:tcPr>
          <w:p>
            <w:pPr>
              <w:spacing w:before="0" w:after="20" w:line="240" w:lineRule="auto"/>
            </w:pPr>
            <w:r>
              <w:rPr>
                <w:rFonts w:ascii="Calibri" w:hAnsi="Calibri" w:eastAsia="Calibri" w:cs="Calibri"/>
                <w:b w:val="0"/>
                <w:i w:val="0"/>
                <w:color w:val="1F2937"/>
                <w:sz w:val="14"/>
              </w:rPr>
              <w:t>https://www.ftc.gov/legal-library/browse/rules/noncompete-rule</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Legislative Assembly of Ontario, Bill 105 (44th Parliament, 1st Session)</w:t>
            </w:r>
          </w:p>
        </w:tc>
        <w:tc>
          <w:tcPr>
            <w:tcW w:type="dxa" w:w="1247"/>
          </w:tcPr>
          <w:p>
            <w:pPr>
              <w:spacing w:before="0" w:after="20" w:line="240" w:lineRule="auto"/>
            </w:pPr>
            <w:r>
              <w:rPr>
                <w:rFonts w:ascii="Calibri" w:hAnsi="Calibri" w:eastAsia="Calibri" w:cs="Calibri"/>
                <w:b w:val="0"/>
                <w:i w:val="0"/>
                <w:color w:val="1F2937"/>
                <w:sz w:val="15"/>
              </w:rPr>
              <w:t>B12</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https://www.ola.org/en/legislative-business/bills/parliament-44/session-1/bill-105</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Nova Scotia, news release on Labour Standards Code changes</w:t>
            </w:r>
          </w:p>
        </w:tc>
        <w:tc>
          <w:tcPr>
            <w:tcW w:type="dxa" w:w="1247"/>
          </w:tcPr>
          <w:p>
            <w:pPr>
              <w:spacing w:before="0" w:after="20" w:line="240" w:lineRule="auto"/>
            </w:pPr>
            <w:r>
              <w:rPr>
                <w:rFonts w:ascii="Calibri" w:hAnsi="Calibri" w:eastAsia="Calibri" w:cs="Calibri"/>
                <w:b w:val="0"/>
                <w:i w:val="0"/>
                <w:color w:val="1F2937"/>
                <w:sz w:val="15"/>
              </w:rPr>
              <w:t>B13</w:t>
            </w:r>
          </w:p>
        </w:tc>
        <w:tc>
          <w:tcPr>
            <w:tcW w:type="dxa" w:w="2154"/>
          </w:tcPr>
          <w:p>
            <w:pPr>
              <w:spacing w:before="0" w:after="20" w:line="240" w:lineRule="auto"/>
            </w:pPr>
            <w:r>
              <w:rPr>
                <w:rFonts w:ascii="Calibri" w:hAnsi="Calibri" w:eastAsia="Calibri" w:cs="Calibri"/>
                <w:b w:val="0"/>
                <w:i w:val="0"/>
                <w:color w:val="1F2937"/>
                <w:sz w:val="15"/>
              </w:rPr>
              <w:t>released Sep 8, 2026</w:t>
            </w:r>
          </w:p>
        </w:tc>
        <w:tc>
          <w:tcPr>
            <w:tcW w:type="dxa" w:w="6746"/>
          </w:tcPr>
          <w:p>
            <w:pPr>
              <w:spacing w:before="0" w:after="20" w:line="240" w:lineRule="auto"/>
            </w:pPr>
            <w:r>
              <w:rPr>
                <w:rFonts w:ascii="Calibri" w:hAnsi="Calibri" w:eastAsia="Calibri" w:cs="Calibri"/>
                <w:b w:val="0"/>
                <w:i w:val="0"/>
                <w:color w:val="1F2937"/>
                <w:sz w:val="14"/>
              </w:rPr>
              <w:t>https://news.novascotia.ca/en/2026/09/08/changes-labour-standards-code-will-strengthen-protections-workers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Australian Treasury, Banning Unfair Non-Competes Bill 2026, exposure draft</w:t>
            </w:r>
          </w:p>
        </w:tc>
        <w:tc>
          <w:tcPr>
            <w:tcW w:type="dxa" w:w="1247"/>
          </w:tcPr>
          <w:p>
            <w:pPr>
              <w:spacing w:before="0" w:after="20" w:line="240" w:lineRule="auto"/>
            </w:pPr>
            <w:r>
              <w:rPr>
                <w:rFonts w:ascii="Calibri" w:hAnsi="Calibri" w:eastAsia="Calibri" w:cs="Calibri"/>
                <w:b w:val="0"/>
                <w:i w:val="0"/>
                <w:color w:val="1F2937"/>
                <w:sz w:val="15"/>
              </w:rPr>
              <w:t>B14</w:t>
            </w:r>
          </w:p>
        </w:tc>
        <w:tc>
          <w:tcPr>
            <w:tcW w:type="dxa" w:w="2154"/>
          </w:tcPr>
          <w:p>
            <w:pPr>
              <w:spacing w:before="0" w:after="20" w:line="240" w:lineRule="auto"/>
            </w:pPr>
            <w:r>
              <w:rPr>
                <w:rFonts w:ascii="Calibri" w:hAnsi="Calibri" w:eastAsia="Calibri" w:cs="Calibri"/>
                <w:b w:val="0"/>
                <w:i w:val="0"/>
                <w:color w:val="1F2937"/>
                <w:sz w:val="15"/>
              </w:rPr>
              <w:t>exposure draft dated Sep 3, 2026</w:t>
            </w:r>
          </w:p>
        </w:tc>
        <w:tc>
          <w:tcPr>
            <w:tcW w:type="dxa" w:w="6746"/>
          </w:tcPr>
          <w:p>
            <w:pPr>
              <w:spacing w:before="0" w:after="20" w:line="240" w:lineRule="auto"/>
            </w:pPr>
            <w:r>
              <w:rPr>
                <w:rFonts w:ascii="Calibri" w:hAnsi="Calibri" w:eastAsia="Calibri" w:cs="Calibri"/>
                <w:b w:val="0"/>
                <w:i w:val="0"/>
                <w:color w:val="1F2937"/>
                <w:sz w:val="14"/>
              </w:rPr>
              <w:t>https://storage.googleapis.com/files-au-treasury/treasury/p/prj3f00a298602dd09b72b97/page/fil3f010c3d46553e4672a63_c2026_801178_ed.pdf</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Treasury ministers, release on banning non-compete clauses</w:t>
            </w:r>
          </w:p>
        </w:tc>
        <w:tc>
          <w:tcPr>
            <w:tcW w:type="dxa" w:w="1247"/>
          </w:tcPr>
          <w:p>
            <w:pPr>
              <w:spacing w:before="0" w:after="20" w:line="240" w:lineRule="auto"/>
            </w:pPr>
            <w:r>
              <w:rPr>
                <w:rFonts w:ascii="Calibri" w:hAnsi="Calibri" w:eastAsia="Calibri" w:cs="Calibri"/>
                <w:b w:val="0"/>
                <w:i w:val="0"/>
                <w:color w:val="1F2937"/>
                <w:sz w:val="15"/>
              </w:rPr>
              <w:t>B14</w:t>
            </w:r>
          </w:p>
        </w:tc>
        <w:tc>
          <w:tcPr>
            <w:tcW w:type="dxa" w:w="2154"/>
          </w:tcPr>
          <w:p>
            <w:pPr>
              <w:spacing w:before="0" w:after="20" w:line="240" w:lineRule="auto"/>
            </w:pPr>
            <w:r>
              <w:rPr>
                <w:rFonts w:ascii="Calibri" w:hAnsi="Calibri" w:eastAsia="Calibri" w:cs="Calibri"/>
                <w:b w:val="0"/>
                <w:i w:val="0"/>
                <w:color w:val="1F2937"/>
                <w:sz w:val="15"/>
              </w:rPr>
              <w:t>released Sep 7, 2026</w:t>
            </w:r>
          </w:p>
        </w:tc>
        <w:tc>
          <w:tcPr>
            <w:tcW w:type="dxa" w:w="6746"/>
          </w:tcPr>
          <w:p>
            <w:pPr>
              <w:spacing w:before="0" w:after="20" w:line="240" w:lineRule="auto"/>
            </w:pPr>
            <w:r>
              <w:rPr>
                <w:rFonts w:ascii="Calibri" w:hAnsi="Calibri" w:eastAsia="Calibri" w:cs="Calibri"/>
                <w:b w:val="0"/>
                <w:i w:val="0"/>
                <w:color w:val="1F2937"/>
                <w:sz w:val="14"/>
              </w:rPr>
              <w:t>https://ministers.treasury.gov.au/ministers/andrew-leigh-2025/media-releases/opening-door-better-and-higher-paying-jobs-banning</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Australian Treasury, Reform to non-compete clauses and other restraints, draft legislation</w:t>
            </w:r>
          </w:p>
        </w:tc>
        <w:tc>
          <w:tcPr>
            <w:tcW w:type="dxa" w:w="1247"/>
          </w:tcPr>
          <w:p>
            <w:pPr>
              <w:spacing w:before="0" w:after="20" w:line="240" w:lineRule="auto"/>
            </w:pPr>
            <w:r>
              <w:rPr>
                <w:rFonts w:ascii="Calibri" w:hAnsi="Calibri" w:eastAsia="Calibri" w:cs="Calibri"/>
                <w:b w:val="0"/>
                <w:i w:val="0"/>
                <w:color w:val="1F2937"/>
                <w:sz w:val="15"/>
              </w:rPr>
              <w:t>B14</w:t>
            </w:r>
          </w:p>
        </w:tc>
        <w:tc>
          <w:tcPr>
            <w:tcW w:type="dxa" w:w="2154"/>
          </w:tcPr>
          <w:p>
            <w:pPr>
              <w:spacing w:before="0" w:after="20" w:line="240" w:lineRule="auto"/>
            </w:pPr>
            <w:r>
              <w:rPr>
                <w:rFonts w:ascii="Calibri" w:hAnsi="Calibri" w:eastAsia="Calibri" w:cs="Calibri"/>
                <w:b w:val="0"/>
                <w:i w:val="0"/>
                <w:color w:val="1F2937"/>
                <w:sz w:val="15"/>
              </w:rPr>
              <w:t>consultation Sep 7 to Oct 2, 2026</w:t>
            </w:r>
          </w:p>
        </w:tc>
        <w:tc>
          <w:tcPr>
            <w:tcW w:type="dxa" w:w="6746"/>
          </w:tcPr>
          <w:p>
            <w:pPr>
              <w:spacing w:before="0" w:after="20" w:line="240" w:lineRule="auto"/>
            </w:pPr>
            <w:r>
              <w:rPr>
                <w:rFonts w:ascii="Calibri" w:hAnsi="Calibri" w:eastAsia="Calibri" w:cs="Calibri"/>
                <w:b w:val="0"/>
                <w:i w:val="0"/>
                <w:color w:val="1F2937"/>
                <w:sz w:val="14"/>
              </w:rPr>
              <w:t>https://consult.treasury.gov.au/c2026-801178</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AustLII, Fair Work Act 2009 (Cth) section 287</w:t>
            </w:r>
          </w:p>
        </w:tc>
        <w:tc>
          <w:tcPr>
            <w:tcW w:type="dxa" w:w="1247"/>
          </w:tcPr>
          <w:p>
            <w:pPr>
              <w:spacing w:before="0" w:after="20" w:line="240" w:lineRule="auto"/>
            </w:pPr>
            <w:r>
              <w:rPr>
                <w:rFonts w:ascii="Calibri" w:hAnsi="Calibri" w:eastAsia="Calibri" w:cs="Calibri"/>
                <w:b w:val="0"/>
                <w:i w:val="0"/>
                <w:color w:val="1F2937"/>
                <w:sz w:val="15"/>
              </w:rPr>
              <w:t>B15</w:t>
            </w:r>
          </w:p>
        </w:tc>
        <w:tc>
          <w:tcPr>
            <w:tcW w:type="dxa" w:w="2154"/>
          </w:tcPr>
          <w:p>
            <w:pPr>
              <w:spacing w:before="0" w:after="20" w:line="240" w:lineRule="auto"/>
            </w:pPr>
            <w:r>
              <w:rPr>
                <w:rFonts w:ascii="Calibri" w:hAnsi="Calibri" w:eastAsia="Calibri" w:cs="Calibri"/>
                <w:b w:val="0"/>
                <w:i w:val="0"/>
                <w:color w:val="1F2937"/>
                <w:sz w:val="15"/>
              </w:rPr>
              <w:t>date not shown</w:t>
            </w:r>
          </w:p>
        </w:tc>
        <w:tc>
          <w:tcPr>
            <w:tcW w:type="dxa" w:w="6746"/>
          </w:tcPr>
          <w:p>
            <w:pPr>
              <w:spacing w:before="0" w:after="20" w:line="240" w:lineRule="auto"/>
            </w:pPr>
            <w:r>
              <w:rPr>
                <w:rFonts w:ascii="Calibri" w:hAnsi="Calibri" w:eastAsia="Calibri" w:cs="Calibri"/>
                <w:b w:val="0"/>
                <w:i w:val="0"/>
                <w:color w:val="1F2937"/>
                <w:sz w:val="14"/>
              </w:rPr>
              <w:t>https://classic.austlii.edu.au/au/legis/cth/consol_act/fwa2009114/s287.html</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CPF Board, changes to senior worker contribution rates from Jan 1, 2027</w:t>
            </w:r>
          </w:p>
        </w:tc>
        <w:tc>
          <w:tcPr>
            <w:tcW w:type="dxa" w:w="1247"/>
          </w:tcPr>
          <w:p>
            <w:pPr>
              <w:spacing w:before="0" w:after="20" w:line="240" w:lineRule="auto"/>
            </w:pPr>
            <w:r>
              <w:rPr>
                <w:rFonts w:ascii="Calibri" w:hAnsi="Calibri" w:eastAsia="Calibri" w:cs="Calibri"/>
                <w:b w:val="0"/>
                <w:i w:val="0"/>
                <w:color w:val="1F2937"/>
                <w:sz w:val="15"/>
              </w:rPr>
              <w:t>B16</w:t>
            </w:r>
          </w:p>
        </w:tc>
        <w:tc>
          <w:tcPr>
            <w:tcW w:type="dxa" w:w="2154"/>
          </w:tcPr>
          <w:p>
            <w:pPr>
              <w:spacing w:before="0" w:after="20" w:line="240" w:lineRule="auto"/>
            </w:pPr>
            <w:r>
              <w:rPr>
                <w:rFonts w:ascii="Calibri" w:hAnsi="Calibri" w:eastAsia="Calibri" w:cs="Calibri"/>
                <w:b w:val="0"/>
                <w:i w:val="0"/>
                <w:color w:val="1F2937"/>
                <w:sz w:val="15"/>
              </w:rPr>
              <w:t>last updated Jun 16, 2026</w:t>
            </w:r>
          </w:p>
        </w:tc>
        <w:tc>
          <w:tcPr>
            <w:tcW w:type="dxa" w:w="6746"/>
          </w:tcPr>
          <w:p>
            <w:pPr>
              <w:spacing w:before="0" w:after="20" w:line="240" w:lineRule="auto"/>
            </w:pPr>
            <w:r>
              <w:rPr>
                <w:rFonts w:ascii="Calibri" w:hAnsi="Calibri" w:eastAsia="Calibri" w:cs="Calibri"/>
                <w:b w:val="0"/>
                <w:i w:val="0"/>
                <w:color w:val="1F2937"/>
                <w:sz w:val="14"/>
              </w:rPr>
              <w:t>https://www.cpf.gov.sg/service/article/what-are-the-changes-to-the-cpf-contribution-rates-for-senior-workers-that-will-take-effect-from-1-january-2027</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Singapore MOM, Employment Pass eligibility</w:t>
            </w:r>
          </w:p>
        </w:tc>
        <w:tc>
          <w:tcPr>
            <w:tcW w:type="dxa" w:w="1247"/>
          </w:tcPr>
          <w:p>
            <w:pPr>
              <w:spacing w:before="0" w:after="20" w:line="240" w:lineRule="auto"/>
            </w:pPr>
            <w:r>
              <w:rPr>
                <w:rFonts w:ascii="Calibri" w:hAnsi="Calibri" w:eastAsia="Calibri" w:cs="Calibri"/>
                <w:b w:val="0"/>
                <w:i w:val="0"/>
                <w:color w:val="1F2937"/>
                <w:sz w:val="15"/>
              </w:rPr>
              <w:t>B17</w:t>
            </w:r>
          </w:p>
        </w:tc>
        <w:tc>
          <w:tcPr>
            <w:tcW w:type="dxa" w:w="2154"/>
          </w:tcPr>
          <w:p>
            <w:pPr>
              <w:spacing w:before="0" w:after="20" w:line="240" w:lineRule="auto"/>
            </w:pPr>
            <w:r>
              <w:rPr>
                <w:rFonts w:ascii="Calibri" w:hAnsi="Calibri" w:eastAsia="Calibri" w:cs="Calibri"/>
                <w:b w:val="0"/>
                <w:i w:val="0"/>
                <w:color w:val="1F2937"/>
                <w:sz w:val="15"/>
              </w:rPr>
              <w:t>last updated Apr 28, 2026</w:t>
            </w:r>
          </w:p>
        </w:tc>
        <w:tc>
          <w:tcPr>
            <w:tcW w:type="dxa" w:w="6746"/>
          </w:tcPr>
          <w:p>
            <w:pPr>
              <w:spacing w:before="0" w:after="20" w:line="240" w:lineRule="auto"/>
            </w:pPr>
            <w:r>
              <w:rPr>
                <w:rFonts w:ascii="Calibri" w:hAnsi="Calibri" w:eastAsia="Calibri" w:cs="Calibri"/>
                <w:b w:val="0"/>
                <w:i w:val="0"/>
                <w:color w:val="1F2937"/>
                <w:sz w:val="14"/>
              </w:rPr>
              <w:t>https://www.mom.gov.sg/passes-and-permits/employment-pass/eligibility</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Singapore MOM, S Pass eligibility</w:t>
            </w:r>
          </w:p>
        </w:tc>
        <w:tc>
          <w:tcPr>
            <w:tcW w:type="dxa" w:w="1247"/>
          </w:tcPr>
          <w:p>
            <w:pPr>
              <w:spacing w:before="0" w:after="20" w:line="240" w:lineRule="auto"/>
            </w:pPr>
            <w:r>
              <w:rPr>
                <w:rFonts w:ascii="Calibri" w:hAnsi="Calibri" w:eastAsia="Calibri" w:cs="Calibri"/>
                <w:b w:val="0"/>
                <w:i w:val="0"/>
                <w:color w:val="1F2937"/>
                <w:sz w:val="15"/>
              </w:rPr>
              <w:t>B17</w:t>
            </w:r>
          </w:p>
        </w:tc>
        <w:tc>
          <w:tcPr>
            <w:tcW w:type="dxa" w:w="2154"/>
          </w:tcPr>
          <w:p>
            <w:pPr>
              <w:spacing w:before="0" w:after="20" w:line="240" w:lineRule="auto"/>
            </w:pPr>
            <w:r>
              <w:rPr>
                <w:rFonts w:ascii="Calibri" w:hAnsi="Calibri" w:eastAsia="Calibri" w:cs="Calibri"/>
                <w:b w:val="0"/>
                <w:i w:val="0"/>
                <w:color w:val="1F2937"/>
                <w:sz w:val="15"/>
              </w:rPr>
              <w:t>last updated Sep 1, 2026</w:t>
            </w:r>
          </w:p>
        </w:tc>
        <w:tc>
          <w:tcPr>
            <w:tcW w:type="dxa" w:w="6746"/>
          </w:tcPr>
          <w:p>
            <w:pPr>
              <w:spacing w:before="0" w:after="20" w:line="240" w:lineRule="auto"/>
            </w:pPr>
            <w:r>
              <w:rPr>
                <w:rFonts w:ascii="Calibri" w:hAnsi="Calibri" w:eastAsia="Calibri" w:cs="Calibri"/>
                <w:b w:val="0"/>
                <w:i w:val="0"/>
                <w:color w:val="1F2937"/>
                <w:sz w:val="14"/>
              </w:rPr>
              <w:t>https://www.mom.gov.sg/passes-and-permits/s-pass/eligibility</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Singapore MOM, written answer to a parliamentary question on workplace harassment complaints</w:t>
            </w:r>
          </w:p>
        </w:tc>
        <w:tc>
          <w:tcPr>
            <w:tcW w:type="dxa" w:w="1247"/>
          </w:tcPr>
          <w:p>
            <w:pPr>
              <w:spacing w:before="0" w:after="20" w:line="240" w:lineRule="auto"/>
            </w:pPr>
            <w:r>
              <w:rPr>
                <w:rFonts w:ascii="Calibri" w:hAnsi="Calibri" w:eastAsia="Calibri" w:cs="Calibri"/>
                <w:b w:val="0"/>
                <w:i w:val="0"/>
                <w:color w:val="1F2937"/>
                <w:sz w:val="15"/>
              </w:rPr>
              <w:t>B18</w:t>
            </w:r>
          </w:p>
        </w:tc>
        <w:tc>
          <w:tcPr>
            <w:tcW w:type="dxa" w:w="2154"/>
          </w:tcPr>
          <w:p>
            <w:pPr>
              <w:spacing w:before="0" w:after="20" w:line="240" w:lineRule="auto"/>
            </w:pPr>
            <w:r>
              <w:rPr>
                <w:rFonts w:ascii="Calibri" w:hAnsi="Calibri" w:eastAsia="Calibri" w:cs="Calibri"/>
                <w:b w:val="0"/>
                <w:i w:val="0"/>
                <w:color w:val="1F2937"/>
                <w:sz w:val="15"/>
              </w:rPr>
              <w:t>Oct 7, 2026</w:t>
            </w:r>
          </w:p>
        </w:tc>
        <w:tc>
          <w:tcPr>
            <w:tcW w:type="dxa" w:w="6746"/>
          </w:tcPr>
          <w:p>
            <w:pPr>
              <w:spacing w:before="0" w:after="20" w:line="240" w:lineRule="auto"/>
            </w:pPr>
            <w:r>
              <w:rPr>
                <w:rFonts w:ascii="Calibri" w:hAnsi="Calibri" w:eastAsia="Calibri" w:cs="Calibri"/>
                <w:b w:val="0"/>
                <w:i w:val="0"/>
                <w:color w:val="1F2937"/>
                <w:sz w:val="14"/>
              </w:rPr>
              <w:t>https://www.mom.gov.sg/newsroom/parliament-questions-and-replies/2026/1007-written-answer-to-pq-on-workplace-harassment-complaints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Deutscher Bundestag, Drucksache 21/7026</w:t>
            </w:r>
          </w:p>
        </w:tc>
        <w:tc>
          <w:tcPr>
            <w:tcW w:type="dxa" w:w="1247"/>
          </w:tcPr>
          <w:p>
            <w:pPr>
              <w:spacing w:before="0" w:after="20" w:line="240" w:lineRule="auto"/>
            </w:pPr>
            <w:r>
              <w:rPr>
                <w:rFonts w:ascii="Calibri" w:hAnsi="Calibri" w:eastAsia="Calibri" w:cs="Calibri"/>
                <w:b w:val="0"/>
                <w:i w:val="0"/>
                <w:color w:val="1F2937"/>
                <w:sz w:val="15"/>
              </w:rPr>
              <w:t>B19</w:t>
            </w:r>
          </w:p>
        </w:tc>
        <w:tc>
          <w:tcPr>
            <w:tcW w:type="dxa" w:w="2154"/>
          </w:tcPr>
          <w:p>
            <w:pPr>
              <w:spacing w:before="0" w:after="20" w:line="240" w:lineRule="auto"/>
            </w:pPr>
            <w:r>
              <w:rPr>
                <w:rFonts w:ascii="Calibri" w:hAnsi="Calibri" w:eastAsia="Calibri" w:cs="Calibri"/>
                <w:b w:val="0"/>
                <w:i w:val="0"/>
                <w:color w:val="1F2937"/>
                <w:sz w:val="15"/>
              </w:rPr>
              <w:t>dated Jul 8, 2026</w:t>
            </w:r>
          </w:p>
        </w:tc>
        <w:tc>
          <w:tcPr>
            <w:tcW w:type="dxa" w:w="6746"/>
          </w:tcPr>
          <w:p>
            <w:pPr>
              <w:spacing w:before="0" w:after="20" w:line="240" w:lineRule="auto"/>
            </w:pPr>
            <w:r>
              <w:rPr>
                <w:rFonts w:ascii="Calibri" w:hAnsi="Calibri" w:eastAsia="Calibri" w:cs="Calibri"/>
                <w:b w:val="0"/>
                <w:i w:val="0"/>
                <w:color w:val="1F2937"/>
                <w:sz w:val="14"/>
              </w:rPr>
              <w:t>https://dserver.bundestag.de/btd/21/070/2107026.pdf</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u.ae, Payment of wages in the private sector</w:t>
            </w:r>
          </w:p>
        </w:tc>
        <w:tc>
          <w:tcPr>
            <w:tcW w:type="dxa" w:w="1247"/>
          </w:tcPr>
          <w:p>
            <w:pPr>
              <w:spacing w:before="0" w:after="20" w:line="240" w:lineRule="auto"/>
            </w:pPr>
            <w:r>
              <w:rPr>
                <w:rFonts w:ascii="Calibri" w:hAnsi="Calibri" w:eastAsia="Calibri" w:cs="Calibri"/>
                <w:b w:val="0"/>
                <w:i w:val="0"/>
                <w:color w:val="1F2937"/>
                <w:sz w:val="15"/>
              </w:rPr>
              <w:t>B20</w:t>
            </w:r>
          </w:p>
        </w:tc>
        <w:tc>
          <w:tcPr>
            <w:tcW w:type="dxa" w:w="2154"/>
          </w:tcPr>
          <w:p>
            <w:pPr>
              <w:spacing w:before="0" w:after="20" w:line="240" w:lineRule="auto"/>
            </w:pPr>
            <w:r>
              <w:rPr>
                <w:rFonts w:ascii="Calibri" w:hAnsi="Calibri" w:eastAsia="Calibri" w:cs="Calibri"/>
                <w:b w:val="0"/>
                <w:i w:val="0"/>
                <w:color w:val="1F2937"/>
                <w:sz w:val="15"/>
              </w:rPr>
              <w:t>updated Oct 14, 2026</w:t>
            </w:r>
          </w:p>
        </w:tc>
        <w:tc>
          <w:tcPr>
            <w:tcW w:type="dxa" w:w="6746"/>
          </w:tcPr>
          <w:p>
            <w:pPr>
              <w:spacing w:before="0" w:after="20" w:line="240" w:lineRule="auto"/>
            </w:pPr>
            <w:r>
              <w:rPr>
                <w:rFonts w:ascii="Calibri" w:hAnsi="Calibri" w:eastAsia="Calibri" w:cs="Calibri"/>
                <w:b w:val="0"/>
                <w:i w:val="0"/>
                <w:color w:val="1F2937"/>
                <w:sz w:val="14"/>
              </w:rPr>
              <w:t>https://u.ae/en/information-and-services/jobs/Sector-of-employment/employment-in-the-private-sector/payment-of-wages</w:t>
            </w:r>
          </w:p>
        </w:tc>
        <w:tc>
          <w:tcPr>
            <w:tcW w:type="dxa" w:w="1134"/>
          </w:tcPr>
          <w:p>
            <w:pPr>
              <w:spacing w:before="0" w:after="20" w:line="240" w:lineRule="auto"/>
            </w:pPr>
            <w:r>
              <w:rPr>
                <w:rFonts w:ascii="Calibri" w:hAnsi="Calibri" w:eastAsia="Calibri" w:cs="Calibri"/>
                <w:b w:val="0"/>
                <w:i w:val="0"/>
                <w:color w:val="1F2937"/>
                <w:sz w:val="15"/>
              </w:rPr>
              <w:t>2026-10-27</w:t>
            </w:r>
          </w:p>
        </w:tc>
      </w:tr>
      <w:tr>
        <w:trPr>
          <w:cantSplit w:val="true"/>
        </w:trPr>
        <w:tc>
          <w:tcPr>
            <w:tcW w:type="dxa" w:w="4422"/>
          </w:tcPr>
          <w:p>
            <w:pPr>
              <w:spacing w:before="0" w:after="20" w:line="240" w:lineRule="auto"/>
            </w:pPr>
            <w:r>
              <w:rPr>
                <w:rFonts w:ascii="Calibri" w:hAnsi="Calibri" w:eastAsia="Calibri" w:cs="Calibri"/>
                <w:b w:val="0"/>
                <w:i w:val="0"/>
                <w:color w:val="1F2937"/>
                <w:sz w:val="15"/>
              </w:rPr>
              <w:t>India Ministry of Labour and Employment, Industrial Relations (Central) Rules, 2026, G.S.R. 342(E) (copy on the Tamil Nadu Labour Department site)</w:t>
            </w:r>
          </w:p>
        </w:tc>
        <w:tc>
          <w:tcPr>
            <w:tcW w:type="dxa" w:w="1247"/>
          </w:tcPr>
          <w:p>
            <w:pPr>
              <w:spacing w:before="0" w:after="20" w:line="240" w:lineRule="auto"/>
            </w:pPr>
            <w:r>
              <w:rPr>
                <w:rFonts w:ascii="Calibri" w:hAnsi="Calibri" w:eastAsia="Calibri" w:cs="Calibri"/>
                <w:b w:val="0"/>
                <w:i w:val="0"/>
                <w:color w:val="1F2937"/>
                <w:sz w:val="15"/>
              </w:rPr>
              <w:t>B21</w:t>
            </w:r>
          </w:p>
        </w:tc>
        <w:tc>
          <w:tcPr>
            <w:tcW w:type="dxa" w:w="2154"/>
          </w:tcPr>
          <w:p>
            <w:pPr>
              <w:spacing w:before="0" w:after="20" w:line="240" w:lineRule="auto"/>
            </w:pPr>
            <w:r>
              <w:rPr>
                <w:rFonts w:ascii="Calibri" w:hAnsi="Calibri" w:eastAsia="Calibri" w:cs="Calibri"/>
                <w:b w:val="0"/>
                <w:i w:val="0"/>
                <w:color w:val="1F2937"/>
                <w:sz w:val="15"/>
              </w:rPr>
              <w:t>May 8, 2026</w:t>
            </w:r>
          </w:p>
        </w:tc>
        <w:tc>
          <w:tcPr>
            <w:tcW w:type="dxa" w:w="6746"/>
          </w:tcPr>
          <w:p>
            <w:pPr>
              <w:spacing w:before="0" w:after="20" w:line="240" w:lineRule="auto"/>
            </w:pPr>
            <w:r>
              <w:rPr>
                <w:rFonts w:ascii="Calibri" w:hAnsi="Calibri" w:eastAsia="Calibri" w:cs="Calibri"/>
                <w:b w:val="0"/>
                <w:i w:val="0"/>
                <w:color w:val="1F2937"/>
                <w:sz w:val="14"/>
              </w:rPr>
              <w:t>https://labour.tn.gov.in/pdf/codes/central_industrial_relations.pdf</w:t>
            </w:r>
          </w:p>
        </w:tc>
        <w:tc>
          <w:tcPr>
            <w:tcW w:type="dxa" w:w="1134"/>
          </w:tcPr>
          <w:p>
            <w:pPr>
              <w:spacing w:before="0" w:after="20" w:line="240" w:lineRule="auto"/>
            </w:pPr>
            <w:r>
              <w:rPr>
                <w:rFonts w:ascii="Calibri" w:hAnsi="Calibri" w:eastAsia="Calibri" w:cs="Calibri"/>
                <w:b w:val="0"/>
                <w:i w:val="0"/>
                <w:color w:val="1F2937"/>
                <w:sz w:val="15"/>
              </w:rPr>
              <w:t>2026-10-27</w:t>
            </w:r>
          </w:p>
        </w:tc>
      </w:tr>
    </w:tbl>
    <w:sectPr w:rsidR="00FC693F" w:rsidRPr="0006063C" w:rsidSect="00034616">
      <w:footerReference w:type="default" r:id="rId9"/>
      <w:pgSz w:w="16838" w:h="11906" w:orient="landscape"/>
      <w:pgMar w:top="624" w:right="567" w:bottom="737" w:left="567" w:header="720" w:footer="34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cs="Calibri"/>
        <w:b w:val="0"/>
        <w:i w:val="0"/>
        <w:color w:val="555F6B"/>
        <w:sz w:val="16"/>
      </w:rPr>
      <w:t xml:space="preserve">2027 Contract Update Checklist  |  Sources checked October 27 and 28, 2026  |  Page </w:t>
    </w:r>
    <w:r>
      <w:rPr>
        <w:rFonts w:ascii="Calibri" w:hAnsi="Calibri" w:eastAsia="Calibri" w:cs="Calibri"/>
        <w:b w:val="0"/>
        <w:color w:val="555F6B"/>
        <w:sz w:val="16"/>
      </w:rPr>
      <w:fldChar w:fldCharType="begin"/>
      <w:instrText xml:space="preserve">PAGE</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python-docx</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Contract Update Checklist</dc:title>
  <dc:subject>Employment contract update checklist for 2027 law changes</dc:subject>
  <dc:creator>HR Riant</dc:creator>
  <cp:keywords/>
  <dc:description/>
  <cp:lastModifiedBy>HR Riant</cp:lastModifiedBy>
  <cp:revision>1</cp:revision>
  <dcterms:created xsi:type="dcterms:W3CDTF">2026-10-27T12:00:00Z</dcterms:created>
  <dcterms:modified xsi:type="dcterms:W3CDTF">2026-10-29T12:00:00Z</dcterms:modified>
  <cp:category/>
</cp:coreProperties>
</file>